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A7" w:rsidRPr="007F1DDF" w:rsidRDefault="00741AA7" w:rsidP="00DA4F0D">
      <w:pPr>
        <w:ind w:right="-177" w:firstLine="540"/>
        <w:rPr>
          <w:b/>
        </w:rPr>
      </w:pPr>
    </w:p>
    <w:p w:rsidR="00741AA7" w:rsidRPr="007F1DDF" w:rsidRDefault="00DD034C" w:rsidP="00DA4F0D">
      <w:pPr>
        <w:ind w:right="-177" w:firstLine="540"/>
        <w:jc w:val="center"/>
        <w:rPr>
          <w:b/>
        </w:rPr>
      </w:pPr>
      <w:r w:rsidRPr="007F1DDF">
        <w:rPr>
          <w:b/>
        </w:rPr>
        <w:t>T</w:t>
      </w:r>
      <w:r w:rsidR="00DA3FD4" w:rsidRPr="007F1DDF">
        <w:rPr>
          <w:b/>
        </w:rPr>
        <w:t>ÜRK HAVA KURUMU Ü</w:t>
      </w:r>
      <w:r w:rsidRPr="007F1DDF">
        <w:rPr>
          <w:b/>
        </w:rPr>
        <w:t xml:space="preserve">NİVERSİTESİ </w:t>
      </w:r>
    </w:p>
    <w:p w:rsidR="00DD034C" w:rsidRPr="007F1DDF" w:rsidRDefault="00DD034C" w:rsidP="00DA4F0D">
      <w:pPr>
        <w:ind w:right="-177" w:firstLine="540"/>
        <w:jc w:val="center"/>
        <w:rPr>
          <w:b/>
        </w:rPr>
      </w:pPr>
      <w:r w:rsidRPr="007F1DDF">
        <w:rPr>
          <w:b/>
        </w:rPr>
        <w:t>İNGİLİZCE HAZIRLIK PROGRAMI EĞİTİM-ÖĞRETİM ESASLARINA İLİŞKİN YÖNERGE</w:t>
      </w:r>
    </w:p>
    <w:p w:rsidR="00D253CA" w:rsidRPr="007F1DDF" w:rsidRDefault="00D253CA" w:rsidP="00DA4F0D">
      <w:pPr>
        <w:tabs>
          <w:tab w:val="left" w:pos="2694"/>
        </w:tabs>
        <w:ind w:right="-177" w:firstLine="540"/>
        <w:rPr>
          <w:b/>
          <w:u w:val="single"/>
        </w:rPr>
      </w:pPr>
    </w:p>
    <w:p w:rsidR="00C01987" w:rsidRPr="007F1DDF" w:rsidRDefault="00C01987" w:rsidP="00DA4F0D">
      <w:pPr>
        <w:tabs>
          <w:tab w:val="left" w:pos="2694"/>
        </w:tabs>
        <w:ind w:right="-177"/>
        <w:rPr>
          <w:b/>
        </w:rPr>
      </w:pPr>
      <w:r w:rsidRPr="007F1DDF">
        <w:rPr>
          <w:b/>
        </w:rPr>
        <w:t xml:space="preserve">         </w:t>
      </w:r>
      <w:bookmarkStart w:id="0" w:name="_GoBack"/>
      <w:bookmarkEnd w:id="0"/>
    </w:p>
    <w:p w:rsidR="00DD034C" w:rsidRPr="007F1DDF" w:rsidRDefault="00DD034C" w:rsidP="00DA4F0D">
      <w:pPr>
        <w:ind w:right="-177" w:firstLine="540"/>
      </w:pPr>
    </w:p>
    <w:p w:rsidR="00DD034C" w:rsidRPr="007F1DDF" w:rsidRDefault="00DD034C" w:rsidP="00DA4F0D">
      <w:pPr>
        <w:ind w:right="-177" w:firstLine="540"/>
        <w:jc w:val="center"/>
        <w:rPr>
          <w:b/>
        </w:rPr>
      </w:pPr>
      <w:r w:rsidRPr="007F1DDF">
        <w:rPr>
          <w:b/>
        </w:rPr>
        <w:t>BİRİNCİ BÖLÜM</w:t>
      </w:r>
    </w:p>
    <w:p w:rsidR="00DD034C" w:rsidRPr="007F1DDF" w:rsidRDefault="00DD034C" w:rsidP="00DA4F0D">
      <w:pPr>
        <w:ind w:right="-177" w:firstLine="540"/>
        <w:jc w:val="center"/>
        <w:rPr>
          <w:b/>
        </w:rPr>
      </w:pPr>
      <w:r w:rsidRPr="007F1DDF">
        <w:rPr>
          <w:b/>
        </w:rPr>
        <w:t>Amaç, Kapsam, Dayanak ve Tanımlar</w:t>
      </w:r>
    </w:p>
    <w:p w:rsidR="00DD034C" w:rsidRPr="007F1DDF" w:rsidRDefault="00DD034C" w:rsidP="00DA4F0D">
      <w:pPr>
        <w:ind w:right="-177" w:firstLine="720"/>
        <w:jc w:val="both"/>
        <w:rPr>
          <w:b/>
        </w:rPr>
      </w:pPr>
      <w:r w:rsidRPr="007F1DDF">
        <w:rPr>
          <w:b/>
        </w:rPr>
        <w:t>Amaç</w:t>
      </w:r>
    </w:p>
    <w:p w:rsidR="00DD034C" w:rsidRPr="007F1DDF" w:rsidRDefault="00DD034C" w:rsidP="00DA4F0D">
      <w:pPr>
        <w:ind w:right="-177" w:firstLine="720"/>
        <w:jc w:val="both"/>
        <w:rPr>
          <w:b/>
        </w:rPr>
      </w:pPr>
      <w:r w:rsidRPr="007F1DDF">
        <w:rPr>
          <w:b/>
        </w:rPr>
        <w:t>MADDE 1-</w:t>
      </w:r>
      <w:r w:rsidR="00886637" w:rsidRPr="007F1DDF">
        <w:rPr>
          <w:b/>
        </w:rPr>
        <w:t xml:space="preserve"> </w:t>
      </w:r>
      <w:r w:rsidRPr="007F1DDF">
        <w:t>(1) Bu yönergenin amacı, T</w:t>
      </w:r>
      <w:r w:rsidR="00DA3FD4" w:rsidRPr="007F1DDF">
        <w:t xml:space="preserve">ürk Hava Kurumu </w:t>
      </w:r>
      <w:r w:rsidRPr="007F1DDF">
        <w:t>Üniversitesinde İngilizce Hazırlık Programı</w:t>
      </w:r>
      <w:r w:rsidR="00DB407C">
        <w:t xml:space="preserve">nda </w:t>
      </w:r>
      <w:r w:rsidR="00C226A1" w:rsidRPr="007F1DDF">
        <w:t xml:space="preserve">sunulan İngilizce derslerinin </w:t>
      </w:r>
      <w:r w:rsidRPr="007F1DDF">
        <w:t>işleyiş mekanizması ile bu programda yapılan dersler, sınavlar ve not sistemleriyle ilgili ilkeleri belirlemektir.</w:t>
      </w:r>
    </w:p>
    <w:p w:rsidR="00DD034C" w:rsidRPr="007F1DDF" w:rsidRDefault="00DD034C" w:rsidP="00DA4F0D">
      <w:pPr>
        <w:ind w:right="-177" w:firstLine="720"/>
        <w:jc w:val="both"/>
        <w:rPr>
          <w:b/>
        </w:rPr>
      </w:pPr>
      <w:r w:rsidRPr="007F1DDF">
        <w:rPr>
          <w:b/>
        </w:rPr>
        <w:t>Kapsam</w:t>
      </w:r>
    </w:p>
    <w:p w:rsidR="00DD034C" w:rsidRPr="007F1DDF" w:rsidRDefault="00DD034C" w:rsidP="00DA4F0D">
      <w:pPr>
        <w:ind w:right="-177" w:firstLine="720"/>
        <w:jc w:val="both"/>
      </w:pPr>
      <w:r w:rsidRPr="007F1DDF">
        <w:rPr>
          <w:b/>
        </w:rPr>
        <w:t>MADDE 2-</w:t>
      </w:r>
      <w:r w:rsidR="00886637" w:rsidRPr="007F1DDF">
        <w:rPr>
          <w:b/>
        </w:rPr>
        <w:t xml:space="preserve"> </w:t>
      </w:r>
      <w:r w:rsidRPr="007F1DDF">
        <w:t>(1) Bu yönerge, T</w:t>
      </w:r>
      <w:r w:rsidR="00D253CA" w:rsidRPr="007F1DDF">
        <w:t>ürk H</w:t>
      </w:r>
      <w:r w:rsidR="00DA3FD4" w:rsidRPr="007F1DDF">
        <w:t xml:space="preserve">ava Kurumu </w:t>
      </w:r>
      <w:r w:rsidRPr="007F1DDF">
        <w:t>Üniversitesi İngilizce Hazırlık Programı</w:t>
      </w:r>
      <w:r w:rsidR="00DB407C">
        <w:t>nda</w:t>
      </w:r>
      <w:r w:rsidR="00C226A1" w:rsidRPr="007F1DDF">
        <w:t xml:space="preserve"> İngilizce </w:t>
      </w:r>
      <w:r w:rsidRPr="007F1DDF">
        <w:t>derslerin</w:t>
      </w:r>
      <w:r w:rsidR="00C226A1" w:rsidRPr="007F1DDF">
        <w:t>in</w:t>
      </w:r>
      <w:r w:rsidRPr="007F1DDF">
        <w:t xml:space="preserve"> içeriği, sınavlar ve eşdeğerlik konularıyla ilgili temel hususları kapsar.</w:t>
      </w:r>
    </w:p>
    <w:p w:rsidR="00DD034C" w:rsidRPr="007F1DDF" w:rsidRDefault="00DD034C" w:rsidP="00DA4F0D">
      <w:pPr>
        <w:ind w:right="-177"/>
        <w:jc w:val="both"/>
        <w:rPr>
          <w:b/>
        </w:rPr>
      </w:pPr>
      <w:r w:rsidRPr="007F1DDF">
        <w:rPr>
          <w:b/>
        </w:rPr>
        <w:t xml:space="preserve">       </w:t>
      </w:r>
      <w:r w:rsidRPr="007F1DDF">
        <w:rPr>
          <w:b/>
        </w:rPr>
        <w:tab/>
        <w:t>Dayanak</w:t>
      </w:r>
    </w:p>
    <w:p w:rsidR="00DD034C" w:rsidRPr="007F1DDF" w:rsidRDefault="00DD034C" w:rsidP="00DA4F0D">
      <w:pPr>
        <w:ind w:right="-177" w:firstLine="708"/>
        <w:jc w:val="both"/>
      </w:pPr>
      <w:r w:rsidRPr="007F1DDF">
        <w:rPr>
          <w:b/>
        </w:rPr>
        <w:t>MADDE 3-</w:t>
      </w:r>
      <w:r w:rsidR="00886637" w:rsidRPr="007F1DDF">
        <w:rPr>
          <w:b/>
        </w:rPr>
        <w:t xml:space="preserve"> </w:t>
      </w:r>
      <w:r w:rsidR="001F592C" w:rsidRPr="007F1DDF">
        <w:t>(1) Bu yönerge, 23/03/2016 Tarih ve 29662</w:t>
      </w:r>
      <w:r w:rsidRPr="007F1DDF">
        <w:t xml:space="preserve"> Sayılı Resmi </w:t>
      </w:r>
      <w:proofErr w:type="spellStart"/>
      <w:r w:rsidRPr="007F1DDF">
        <w:t>Gazete’de</w:t>
      </w:r>
      <w:proofErr w:type="spellEnd"/>
      <w:r w:rsidRPr="007F1DDF">
        <w:t xml:space="preserve"> yayımlanan </w:t>
      </w:r>
      <w:r w:rsidRPr="007F1DDF">
        <w:rPr>
          <w:bCs/>
        </w:rPr>
        <w:t xml:space="preserve">Yükseköğretim Kurumlarında Yabancı Dil Öğretimi ve Yabancı Dille Öğretim Yapılmasında Uyulacak  Esaslara İlişkin </w:t>
      </w:r>
      <w:r w:rsidR="00D253CA" w:rsidRPr="007F1DDF">
        <w:t>Yönetmeliğe d</w:t>
      </w:r>
      <w:r w:rsidRPr="007F1DDF">
        <w:t>ayanılarak hazırlanmıştır.</w:t>
      </w:r>
    </w:p>
    <w:p w:rsidR="00DD034C" w:rsidRPr="007F1DDF" w:rsidRDefault="00DD034C" w:rsidP="00DA4F0D">
      <w:pPr>
        <w:ind w:right="-177" w:firstLine="708"/>
        <w:jc w:val="both"/>
        <w:rPr>
          <w:b/>
        </w:rPr>
      </w:pPr>
      <w:r w:rsidRPr="007F1DDF">
        <w:rPr>
          <w:b/>
          <w:iCs/>
        </w:rPr>
        <w:t>Tanımlar</w:t>
      </w:r>
    </w:p>
    <w:p w:rsidR="00DD034C" w:rsidRPr="007F1DDF" w:rsidRDefault="00DD034C" w:rsidP="00DA4F0D">
      <w:pPr>
        <w:ind w:right="-177"/>
      </w:pPr>
      <w:r w:rsidRPr="007F1DDF">
        <w:rPr>
          <w:b/>
          <w:bCs/>
          <w:spacing w:val="7"/>
        </w:rPr>
        <w:t xml:space="preserve">       </w:t>
      </w:r>
      <w:r w:rsidRPr="007F1DDF">
        <w:rPr>
          <w:b/>
          <w:bCs/>
          <w:spacing w:val="7"/>
        </w:rPr>
        <w:tab/>
        <w:t>MADDE</w:t>
      </w:r>
      <w:r w:rsidRPr="007F1DDF">
        <w:rPr>
          <w:b/>
        </w:rPr>
        <w:t xml:space="preserve"> </w:t>
      </w:r>
      <w:r w:rsidRPr="007F1DDF">
        <w:rPr>
          <w:b/>
          <w:bCs/>
        </w:rPr>
        <w:t>4</w:t>
      </w:r>
      <w:r w:rsidRPr="007F1DDF">
        <w:rPr>
          <w:b/>
        </w:rPr>
        <w:t>-</w:t>
      </w:r>
      <w:r w:rsidR="00886637" w:rsidRPr="007F1DDF">
        <w:rPr>
          <w:b/>
        </w:rPr>
        <w:t xml:space="preserve"> </w:t>
      </w:r>
      <w:r w:rsidRPr="007F1DDF">
        <w:t xml:space="preserve">(1) Bu yönergede geçen, </w:t>
      </w:r>
    </w:p>
    <w:p w:rsidR="00DD00B6" w:rsidRPr="007F1DDF" w:rsidRDefault="004728BD" w:rsidP="004728BD">
      <w:pPr>
        <w:widowControl w:val="0"/>
        <w:autoSpaceDE w:val="0"/>
        <w:autoSpaceDN w:val="0"/>
        <w:adjustRightInd w:val="0"/>
        <w:ind w:left="1134" w:right="-177" w:hanging="425"/>
        <w:jc w:val="both"/>
      </w:pPr>
      <w:r>
        <w:t xml:space="preserve">a)    </w:t>
      </w:r>
      <w:r w:rsidR="006F32A6" w:rsidRPr="007F1DDF">
        <w:t>Bileşen: Sınavların bütününü oluşturan bölümlerden her birini,</w:t>
      </w:r>
      <w:r w:rsidR="0014377F" w:rsidRPr="007F1DDF">
        <w:t xml:space="preserve"> </w:t>
      </w:r>
    </w:p>
    <w:p w:rsidR="006F32A6" w:rsidRPr="007F1DDF" w:rsidRDefault="006F32A6" w:rsidP="004728BD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ind w:left="1134" w:right="-177" w:hanging="425"/>
        <w:jc w:val="both"/>
      </w:pPr>
      <w:r w:rsidRPr="007F1DDF">
        <w:t xml:space="preserve">ETS: </w:t>
      </w:r>
      <w:proofErr w:type="spellStart"/>
      <w:r w:rsidRPr="007F1DDF">
        <w:t>Educational</w:t>
      </w:r>
      <w:proofErr w:type="spellEnd"/>
      <w:r w:rsidRPr="007F1DDF">
        <w:t xml:space="preserve"> </w:t>
      </w:r>
      <w:proofErr w:type="spellStart"/>
      <w:r w:rsidRPr="007F1DDF">
        <w:t>Testing</w:t>
      </w:r>
      <w:proofErr w:type="spellEnd"/>
      <w:r w:rsidRPr="007F1DDF">
        <w:t xml:space="preserve"> Service kurumunu,</w:t>
      </w:r>
    </w:p>
    <w:p w:rsidR="00627ADE" w:rsidRDefault="006F32A6" w:rsidP="004728BD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ind w:left="1134" w:right="-177" w:hanging="425"/>
        <w:jc w:val="both"/>
      </w:pPr>
      <w:proofErr w:type="gramStart"/>
      <w:r w:rsidRPr="007F1DDF">
        <w:t>e</w:t>
      </w:r>
      <w:proofErr w:type="gramEnd"/>
      <w:r w:rsidRPr="007F1DDF">
        <w:t xml:space="preserve">-YDS: Elektronik Yabancı Dil Sınavını, </w:t>
      </w:r>
    </w:p>
    <w:p w:rsidR="0014377F" w:rsidRPr="007F1DDF" w:rsidRDefault="004728BD" w:rsidP="004728BD">
      <w:pPr>
        <w:widowControl w:val="0"/>
        <w:autoSpaceDE w:val="0"/>
        <w:autoSpaceDN w:val="0"/>
        <w:adjustRightInd w:val="0"/>
        <w:ind w:left="1134" w:right="-177" w:hanging="425"/>
        <w:jc w:val="both"/>
      </w:pPr>
      <w:r>
        <w:t xml:space="preserve">ç)    </w:t>
      </w:r>
      <w:r w:rsidR="00176E66" w:rsidRPr="007F1DDF">
        <w:t xml:space="preserve">İngilizce Düzey Belirleme Sınavı: Üniversitenin Yabancı Diller Bölümünün İngilizce </w:t>
      </w:r>
      <w:r w:rsidR="0014377F" w:rsidRPr="007F1DDF">
        <w:t xml:space="preserve">     </w:t>
      </w:r>
    </w:p>
    <w:p w:rsidR="00176E66" w:rsidRPr="007F1DDF" w:rsidRDefault="00176E66" w:rsidP="004728BD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ind w:left="1134" w:right="-177" w:hanging="425"/>
        <w:jc w:val="both"/>
      </w:pPr>
      <w:r w:rsidRPr="007F1DDF">
        <w:t>Hazırlık Programından muaf olacak öğrenciler ile bu programda okuyacak olan öğrencilerin düzeylerini belirlemek amacıyl</w:t>
      </w:r>
      <w:r w:rsidR="00322114" w:rsidRPr="007F1DDF">
        <w:t xml:space="preserve">a akademik </w:t>
      </w:r>
      <w:r w:rsidR="00627ADE" w:rsidRPr="007F1DDF">
        <w:t>yılbaşında</w:t>
      </w:r>
      <w:r w:rsidR="00322114" w:rsidRPr="007F1DDF">
        <w:t xml:space="preserve"> yaptığı </w:t>
      </w:r>
      <w:r w:rsidRPr="007F1DDF">
        <w:t>Düzey Belirleme sınavını</w:t>
      </w:r>
      <w:r w:rsidR="0014377F" w:rsidRPr="007F1DDF">
        <w:t>,</w:t>
      </w:r>
    </w:p>
    <w:p w:rsidR="00176E66" w:rsidRPr="007F1DDF" w:rsidRDefault="00176E66" w:rsidP="004728B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134" w:right="-177" w:hanging="425"/>
        <w:jc w:val="both"/>
      </w:pPr>
      <w:r w:rsidRPr="007F1DDF">
        <w:t>İngilizce Hazırlık Programı: Öğrencilerin Üniversitedeki lisans progra</w:t>
      </w:r>
      <w:r w:rsidR="0014377F" w:rsidRPr="007F1DDF">
        <w:t>mlarına</w:t>
      </w:r>
      <w:r w:rsidR="00627ADE">
        <w:t xml:space="preserve"> </w:t>
      </w:r>
      <w:r w:rsidRPr="007F1DDF">
        <w:t>başlamadan önce tamamlamak zorunda oldukları İngilizce eğitim-öğretim programını,</w:t>
      </w:r>
    </w:p>
    <w:p w:rsidR="00176E66" w:rsidRPr="007F1DDF" w:rsidRDefault="00176E66" w:rsidP="004728B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134" w:right="-177" w:hanging="425"/>
        <w:jc w:val="both"/>
      </w:pPr>
      <w:r w:rsidRPr="007F1DDF">
        <w:t>Rektörlük: Üniversite Rektörlüğünü,</w:t>
      </w:r>
    </w:p>
    <w:p w:rsidR="00627ADE" w:rsidRDefault="00176E66" w:rsidP="004728B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134" w:right="-177" w:hanging="425"/>
        <w:jc w:val="both"/>
      </w:pPr>
      <w:r w:rsidRPr="007F1DDF">
        <w:t>Senato: Üniversite Senatosunu,</w:t>
      </w:r>
    </w:p>
    <w:p w:rsidR="00627ADE" w:rsidRDefault="004728BD" w:rsidP="004728BD">
      <w:pPr>
        <w:widowControl w:val="0"/>
        <w:tabs>
          <w:tab w:val="left" w:pos="851"/>
        </w:tabs>
        <w:autoSpaceDE w:val="0"/>
        <w:autoSpaceDN w:val="0"/>
        <w:adjustRightInd w:val="0"/>
        <w:ind w:left="1134" w:right="-177" w:hanging="425"/>
        <w:jc w:val="both"/>
      </w:pPr>
      <w:r>
        <w:rPr>
          <w:spacing w:val="2"/>
        </w:rPr>
        <w:t xml:space="preserve">ğ)   </w:t>
      </w:r>
      <w:r w:rsidR="0014377F" w:rsidRPr="00627ADE">
        <w:rPr>
          <w:spacing w:val="2"/>
        </w:rPr>
        <w:t>T</w:t>
      </w:r>
      <w:r w:rsidR="00176E66" w:rsidRPr="00627ADE">
        <w:rPr>
          <w:spacing w:val="2"/>
        </w:rPr>
        <w:t xml:space="preserve">HKU Yeterlik Sınavı: </w:t>
      </w:r>
      <w:r w:rsidR="00176E66" w:rsidRPr="007F1DDF">
        <w:t>Üniversitenin Yabancı Diller Bölüm</w:t>
      </w:r>
      <w:r w:rsidR="007D08E1" w:rsidRPr="007F1DDF">
        <w:t xml:space="preserve">ünün akademik </w:t>
      </w:r>
      <w:r w:rsidR="00627ADE" w:rsidRPr="007F1DDF">
        <w:t>yılbaşında ve</w:t>
      </w:r>
      <w:r w:rsidR="00176E66" w:rsidRPr="007F1DDF">
        <w:t xml:space="preserve"> sonunda yaptığı İngilizce THKU Yeter</w:t>
      </w:r>
      <w:r w:rsidR="00243F20" w:rsidRPr="007F1DDF">
        <w:t xml:space="preserve">lik Sınavını, </w:t>
      </w:r>
    </w:p>
    <w:p w:rsidR="00176E66" w:rsidRPr="007F1DDF" w:rsidRDefault="00176E66" w:rsidP="004728B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134" w:right="-177" w:hanging="425"/>
        <w:jc w:val="both"/>
      </w:pPr>
      <w:r w:rsidRPr="007F1DDF">
        <w:t xml:space="preserve">PTE </w:t>
      </w:r>
      <w:proofErr w:type="spellStart"/>
      <w:r w:rsidRPr="007F1DDF">
        <w:t>Academic</w:t>
      </w:r>
      <w:proofErr w:type="spellEnd"/>
      <w:r w:rsidRPr="007F1DDF">
        <w:t xml:space="preserve">: </w:t>
      </w:r>
      <w:proofErr w:type="spellStart"/>
      <w:r w:rsidRPr="007F1DDF">
        <w:t>Pearson</w:t>
      </w:r>
      <w:proofErr w:type="spellEnd"/>
      <w:r w:rsidRPr="007F1DDF">
        <w:t xml:space="preserve"> Test of English </w:t>
      </w:r>
      <w:proofErr w:type="spellStart"/>
      <w:r w:rsidRPr="007F1DDF">
        <w:t>Academic</w:t>
      </w:r>
      <w:proofErr w:type="spellEnd"/>
      <w:r w:rsidRPr="007F1DDF">
        <w:t xml:space="preserve"> </w:t>
      </w:r>
      <w:r w:rsidR="0014377F" w:rsidRPr="007F1DDF">
        <w:t xml:space="preserve">adlı </w:t>
      </w:r>
      <w:r w:rsidRPr="007F1DDF">
        <w:t>sınavı</w:t>
      </w:r>
      <w:r w:rsidR="0014377F" w:rsidRPr="007F1DDF">
        <w:t>,</w:t>
      </w:r>
    </w:p>
    <w:p w:rsidR="00627ADE" w:rsidRDefault="004728BD" w:rsidP="004728BD">
      <w:pPr>
        <w:widowControl w:val="0"/>
        <w:autoSpaceDE w:val="0"/>
        <w:autoSpaceDN w:val="0"/>
        <w:adjustRightInd w:val="0"/>
        <w:ind w:left="1134" w:right="-177" w:hanging="425"/>
        <w:jc w:val="both"/>
      </w:pPr>
      <w:r>
        <w:t xml:space="preserve">ı)    </w:t>
      </w:r>
      <w:r w:rsidR="00176E66" w:rsidRPr="007F1DDF">
        <w:t xml:space="preserve">PTE General: </w:t>
      </w:r>
      <w:proofErr w:type="spellStart"/>
      <w:r w:rsidR="00176E66" w:rsidRPr="007F1DDF">
        <w:t>Pearson</w:t>
      </w:r>
      <w:proofErr w:type="spellEnd"/>
      <w:r w:rsidR="00176E66" w:rsidRPr="007F1DDF">
        <w:t xml:space="preserve"> Test of English General </w:t>
      </w:r>
      <w:r w:rsidR="0014377F" w:rsidRPr="007F1DDF">
        <w:t>adlı sınavı,</w:t>
      </w:r>
    </w:p>
    <w:p w:rsidR="00627ADE" w:rsidRDefault="00DD034C" w:rsidP="004728B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134" w:right="-177" w:hanging="425"/>
        <w:jc w:val="both"/>
      </w:pPr>
      <w:r w:rsidRPr="007F1DDF">
        <w:t xml:space="preserve">TOEFL-IBT:  Test of English as a </w:t>
      </w:r>
      <w:proofErr w:type="spellStart"/>
      <w:r w:rsidRPr="007F1DDF">
        <w:t>Foreign</w:t>
      </w:r>
      <w:proofErr w:type="spellEnd"/>
      <w:r w:rsidRPr="007F1DDF">
        <w:t xml:space="preserve"> Language Internet-</w:t>
      </w:r>
      <w:proofErr w:type="spellStart"/>
      <w:r w:rsidRPr="007F1DDF">
        <w:t>Based</w:t>
      </w:r>
      <w:proofErr w:type="spellEnd"/>
      <w:r w:rsidRPr="007F1DDF">
        <w:t xml:space="preserve"> Test adlı sınavı,</w:t>
      </w:r>
    </w:p>
    <w:p w:rsidR="00627ADE" w:rsidRDefault="00DF7327" w:rsidP="004728B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134" w:right="-177" w:hanging="425"/>
        <w:jc w:val="both"/>
      </w:pPr>
      <w:r w:rsidRPr="007F1DDF">
        <w:t xml:space="preserve">TOEFL-ITP: Test of English as a </w:t>
      </w:r>
      <w:proofErr w:type="spellStart"/>
      <w:r w:rsidRPr="007F1DDF">
        <w:t>Foreign</w:t>
      </w:r>
      <w:proofErr w:type="spellEnd"/>
      <w:r w:rsidRPr="007F1DDF">
        <w:t xml:space="preserve"> Language </w:t>
      </w:r>
      <w:proofErr w:type="spellStart"/>
      <w:r w:rsidRPr="007F1DDF">
        <w:t>Institutional</w:t>
      </w:r>
      <w:proofErr w:type="spellEnd"/>
      <w:r w:rsidRPr="007F1DDF">
        <w:t xml:space="preserve"> </w:t>
      </w:r>
      <w:proofErr w:type="spellStart"/>
      <w:r w:rsidRPr="007F1DDF">
        <w:t>Testing</w:t>
      </w:r>
      <w:proofErr w:type="spellEnd"/>
      <w:r w:rsidRPr="007F1DDF">
        <w:t xml:space="preserve"> Program adlı</w:t>
      </w:r>
      <w:r w:rsidR="0014377F" w:rsidRPr="007F1DDF">
        <w:t xml:space="preserve"> </w:t>
      </w:r>
      <w:r w:rsidRPr="007F1DDF">
        <w:t>sınavı,</w:t>
      </w:r>
    </w:p>
    <w:p w:rsidR="00627ADE" w:rsidRDefault="0014377F" w:rsidP="004728B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134" w:right="-177" w:hanging="425"/>
        <w:jc w:val="both"/>
      </w:pPr>
      <w:r w:rsidRPr="007F1DDF">
        <w:t>Üniversite: Türk Hava Kurumu Üniversitesini,</w:t>
      </w:r>
    </w:p>
    <w:p w:rsidR="0014377F" w:rsidRPr="007F1DDF" w:rsidRDefault="00176E66" w:rsidP="004728B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134" w:right="-177" w:hanging="425"/>
        <w:jc w:val="both"/>
      </w:pPr>
      <w:r w:rsidRPr="007F1DDF">
        <w:t>YDS: Yabancı Dil Sınavını</w:t>
      </w:r>
      <w:r w:rsidR="0014377F" w:rsidRPr="007F1DDF">
        <w:t>,</w:t>
      </w:r>
    </w:p>
    <w:p w:rsidR="00997F49" w:rsidRPr="007F1DDF" w:rsidRDefault="0014377F" w:rsidP="00DA4F0D">
      <w:pPr>
        <w:widowControl w:val="0"/>
        <w:tabs>
          <w:tab w:val="left" w:pos="1080"/>
        </w:tabs>
        <w:autoSpaceDE w:val="0"/>
        <w:autoSpaceDN w:val="0"/>
        <w:adjustRightInd w:val="0"/>
        <w:ind w:right="-177"/>
        <w:jc w:val="both"/>
      </w:pPr>
      <w:r w:rsidRPr="007F1DDF">
        <w:tab/>
      </w:r>
      <w:proofErr w:type="gramStart"/>
      <w:r w:rsidR="00997F49" w:rsidRPr="007F1DDF">
        <w:t>ifade</w:t>
      </w:r>
      <w:proofErr w:type="gramEnd"/>
      <w:r w:rsidR="00997F49" w:rsidRPr="007F1DDF">
        <w:t xml:space="preserve"> eder.</w:t>
      </w:r>
    </w:p>
    <w:p w:rsidR="00D84314" w:rsidRPr="007F1DDF" w:rsidRDefault="0014377F" w:rsidP="00DA4F0D">
      <w:pPr>
        <w:widowControl w:val="0"/>
        <w:tabs>
          <w:tab w:val="left" w:pos="1080"/>
        </w:tabs>
        <w:autoSpaceDE w:val="0"/>
        <w:autoSpaceDN w:val="0"/>
        <w:adjustRightInd w:val="0"/>
        <w:ind w:right="-177"/>
        <w:jc w:val="both"/>
      </w:pPr>
      <w:r w:rsidRPr="007F1DDF">
        <w:t xml:space="preserve">              </w:t>
      </w:r>
    </w:p>
    <w:p w:rsidR="00D84314" w:rsidRPr="007F1DDF" w:rsidRDefault="0014377F" w:rsidP="00DA4F0D">
      <w:pPr>
        <w:widowControl w:val="0"/>
        <w:tabs>
          <w:tab w:val="left" w:pos="1080"/>
        </w:tabs>
        <w:autoSpaceDE w:val="0"/>
        <w:autoSpaceDN w:val="0"/>
        <w:adjustRightInd w:val="0"/>
        <w:ind w:right="-177"/>
        <w:jc w:val="both"/>
      </w:pPr>
      <w:r w:rsidRPr="007F1DDF">
        <w:t xml:space="preserve">        </w:t>
      </w:r>
    </w:p>
    <w:p w:rsidR="00997F49" w:rsidRPr="007F1DDF" w:rsidRDefault="00997F49" w:rsidP="00DA4F0D">
      <w:pPr>
        <w:widowControl w:val="0"/>
        <w:tabs>
          <w:tab w:val="left" w:pos="1080"/>
        </w:tabs>
        <w:autoSpaceDE w:val="0"/>
        <w:autoSpaceDN w:val="0"/>
        <w:adjustRightInd w:val="0"/>
        <w:ind w:right="-177"/>
        <w:jc w:val="both"/>
      </w:pPr>
    </w:p>
    <w:p w:rsidR="000661A8" w:rsidRPr="007F1DDF" w:rsidRDefault="00997F49" w:rsidP="00DA4F0D">
      <w:pPr>
        <w:ind w:right="-177" w:firstLine="540"/>
        <w:jc w:val="center"/>
        <w:rPr>
          <w:b/>
        </w:rPr>
      </w:pPr>
      <w:r w:rsidRPr="007F1DDF">
        <w:rPr>
          <w:b/>
        </w:rPr>
        <w:t xml:space="preserve"> </w:t>
      </w:r>
    </w:p>
    <w:p w:rsidR="000661A8" w:rsidRPr="007F1DDF" w:rsidRDefault="000661A8" w:rsidP="00DA4F0D">
      <w:pPr>
        <w:ind w:right="-177" w:firstLine="540"/>
        <w:jc w:val="center"/>
        <w:rPr>
          <w:b/>
        </w:rPr>
      </w:pPr>
    </w:p>
    <w:p w:rsidR="000661A8" w:rsidRPr="007F1DDF" w:rsidRDefault="000661A8" w:rsidP="00DA4F0D">
      <w:pPr>
        <w:ind w:right="-177" w:firstLine="540"/>
        <w:jc w:val="center"/>
        <w:rPr>
          <w:b/>
        </w:rPr>
      </w:pPr>
    </w:p>
    <w:p w:rsidR="000661A8" w:rsidRPr="007F1DDF" w:rsidRDefault="000661A8" w:rsidP="00DA4F0D">
      <w:pPr>
        <w:ind w:right="-177" w:firstLine="540"/>
        <w:jc w:val="center"/>
        <w:rPr>
          <w:b/>
        </w:rPr>
      </w:pPr>
    </w:p>
    <w:p w:rsidR="00A16406" w:rsidRPr="007F1DDF" w:rsidRDefault="00A16406" w:rsidP="00DA4F0D">
      <w:pPr>
        <w:ind w:right="-177"/>
        <w:rPr>
          <w:b/>
        </w:rPr>
      </w:pPr>
    </w:p>
    <w:p w:rsidR="00DD034C" w:rsidRPr="007F1DDF" w:rsidRDefault="00DD034C" w:rsidP="00DA4F0D">
      <w:pPr>
        <w:ind w:right="-177" w:firstLine="540"/>
        <w:jc w:val="center"/>
        <w:rPr>
          <w:b/>
        </w:rPr>
      </w:pPr>
      <w:r w:rsidRPr="007F1DDF">
        <w:rPr>
          <w:b/>
        </w:rPr>
        <w:lastRenderedPageBreak/>
        <w:t>İKİNCİ BÖLÜM</w:t>
      </w:r>
    </w:p>
    <w:p w:rsidR="00F806A3" w:rsidRPr="007F1DDF" w:rsidRDefault="00F806A3" w:rsidP="00DA4F0D">
      <w:pPr>
        <w:ind w:right="-177" w:firstLine="540"/>
        <w:jc w:val="center"/>
        <w:rPr>
          <w:b/>
        </w:rPr>
      </w:pPr>
      <w:r w:rsidRPr="007F1DDF">
        <w:rPr>
          <w:b/>
        </w:rPr>
        <w:t>İngilizce Hazırlık Programı</w:t>
      </w:r>
    </w:p>
    <w:p w:rsidR="00DD034C" w:rsidRPr="007F1DDF" w:rsidRDefault="00DD034C" w:rsidP="00DA4F0D">
      <w:pPr>
        <w:ind w:right="-177" w:firstLine="540"/>
        <w:jc w:val="center"/>
        <w:rPr>
          <w:b/>
        </w:rPr>
      </w:pPr>
      <w:r w:rsidRPr="007F1DDF">
        <w:rPr>
          <w:b/>
        </w:rPr>
        <w:t>Eğitim-Öğretim</w:t>
      </w:r>
    </w:p>
    <w:p w:rsidR="00DD034C" w:rsidRPr="007F1DDF" w:rsidRDefault="00DD034C" w:rsidP="00DA4F0D">
      <w:pPr>
        <w:ind w:right="-177"/>
        <w:jc w:val="both"/>
        <w:rPr>
          <w:b/>
        </w:rPr>
      </w:pPr>
      <w:r w:rsidRPr="007F1DDF">
        <w:rPr>
          <w:b/>
        </w:rPr>
        <w:tab/>
        <w:t xml:space="preserve">Öğrenciler </w:t>
      </w:r>
    </w:p>
    <w:p w:rsidR="00DD034C" w:rsidRPr="007F1DDF" w:rsidRDefault="00DD034C" w:rsidP="00DA4F0D">
      <w:pPr>
        <w:ind w:right="-177"/>
        <w:jc w:val="both"/>
      </w:pPr>
      <w:r w:rsidRPr="007F1DDF">
        <w:tab/>
      </w:r>
      <w:r w:rsidRPr="007F1DDF">
        <w:rPr>
          <w:b/>
        </w:rPr>
        <w:t>MADDE 5-</w:t>
      </w:r>
      <w:r w:rsidR="00886637" w:rsidRPr="007F1DDF">
        <w:rPr>
          <w:b/>
        </w:rPr>
        <w:t xml:space="preserve"> </w:t>
      </w:r>
      <w:r w:rsidR="00D253CA" w:rsidRPr="007F1DDF">
        <w:t>(1) İngilizce Hazırlık P</w:t>
      </w:r>
      <w:r w:rsidRPr="007F1DDF">
        <w:t xml:space="preserve">rogramı öğrencileri; Üniversitenin bir programına kaydını yaptıran ve </w:t>
      </w:r>
      <w:r w:rsidR="006731CD" w:rsidRPr="007F1DDF">
        <w:t xml:space="preserve">THKU </w:t>
      </w:r>
      <w:r w:rsidR="00BC323C" w:rsidRPr="007F1DDF">
        <w:t>Yeterlik Sınavı</w:t>
      </w:r>
      <w:r w:rsidRPr="007F1DDF">
        <w:t xml:space="preserve">nda başarısız olan veya eşdeğerlik belgesi ibraz edememiş ya da bu sınava katılmamış öğrencilerdir. </w:t>
      </w:r>
    </w:p>
    <w:p w:rsidR="00DD034C" w:rsidRPr="007F1DDF" w:rsidRDefault="005361F9" w:rsidP="00DA4F0D">
      <w:pPr>
        <w:ind w:right="-177" w:firstLine="708"/>
        <w:jc w:val="both"/>
      </w:pPr>
      <w:r w:rsidRPr="007F1DDF">
        <w:t>(2) Rektörlük</w:t>
      </w:r>
      <w:r w:rsidR="00281EA9" w:rsidRPr="007F1DDF">
        <w:t>,</w:t>
      </w:r>
      <w:r w:rsidR="00DD034C" w:rsidRPr="007F1DDF">
        <w:t xml:space="preserve"> </w:t>
      </w:r>
      <w:r w:rsidR="00D253CA" w:rsidRPr="007F1DDF">
        <w:t xml:space="preserve">İngilizce Hazırlık Programı </w:t>
      </w:r>
      <w:r w:rsidR="00DD034C" w:rsidRPr="007F1DDF">
        <w:t xml:space="preserve">öğrencilerini </w:t>
      </w:r>
      <w:r w:rsidR="00E67E4D" w:rsidRPr="007F1DDF">
        <w:t>Yabancı Diller Bölüm</w:t>
      </w:r>
      <w:r w:rsidR="00DD034C" w:rsidRPr="007F1DDF">
        <w:t>ünde öğretimi yapılamayan yabancı dillerin eğitim-öğretimi ve yeterlik sınavları için, eşdeğerliği Senato tarafından kabul edilmiş bir eğitim-öğretim kurumuna gönderebilir. Bu kurumdan alınacak başarı belge</w:t>
      </w:r>
      <w:r w:rsidR="00D253CA" w:rsidRPr="007F1DDF">
        <w:t xml:space="preserve">si Üniversite tarafından mevcut </w:t>
      </w:r>
      <w:proofErr w:type="gramStart"/>
      <w:r w:rsidR="00DD034C" w:rsidRPr="007F1DDF">
        <w:t>kriterler</w:t>
      </w:r>
      <w:proofErr w:type="gramEnd"/>
      <w:r w:rsidR="00DD034C" w:rsidRPr="007F1DDF">
        <w:t xml:space="preserve"> çerçevesinde değerlendirilir.</w:t>
      </w:r>
    </w:p>
    <w:p w:rsidR="00DD034C" w:rsidRPr="007F1DDF" w:rsidRDefault="00DD034C" w:rsidP="00DA4F0D">
      <w:pPr>
        <w:ind w:right="-177" w:firstLine="708"/>
        <w:jc w:val="both"/>
        <w:rPr>
          <w:b/>
        </w:rPr>
      </w:pPr>
      <w:r w:rsidRPr="007F1DDF">
        <w:rPr>
          <w:b/>
        </w:rPr>
        <w:t>İngilizce muafiyet ve düzey belirleme sınavı</w:t>
      </w:r>
    </w:p>
    <w:p w:rsidR="00DD034C" w:rsidRPr="007F1DDF" w:rsidRDefault="00DD034C" w:rsidP="00DA4F0D">
      <w:pPr>
        <w:ind w:right="-177"/>
        <w:jc w:val="both"/>
      </w:pPr>
      <w:r w:rsidRPr="007F1DDF">
        <w:rPr>
          <w:b/>
        </w:rPr>
        <w:tab/>
        <w:t>MADDE 6-</w:t>
      </w:r>
      <w:r w:rsidR="00886637" w:rsidRPr="007F1DDF">
        <w:rPr>
          <w:b/>
        </w:rPr>
        <w:t xml:space="preserve"> </w:t>
      </w:r>
      <w:r w:rsidRPr="007F1DDF">
        <w:t xml:space="preserve">(1) Üniversiteye ilk defa kayıt yaptıran öğrenciler, kayıt yaptırdıkları öğretim yılının başında, </w:t>
      </w:r>
      <w:r w:rsidR="00442FCA" w:rsidRPr="007F1DDF">
        <w:t>Yabancı Di</w:t>
      </w:r>
      <w:r w:rsidR="00CB1FDE" w:rsidRPr="007F1DDF">
        <w:t>ller Bölümü</w:t>
      </w:r>
      <w:r w:rsidR="00442FCA" w:rsidRPr="007F1DDF">
        <w:t xml:space="preserve"> </w:t>
      </w:r>
      <w:r w:rsidR="00D253CA" w:rsidRPr="007F1DDF">
        <w:t>tarafından hazırlanan ve Rektörlük tarafından onaylanan</w:t>
      </w:r>
      <w:r w:rsidRPr="007F1DDF">
        <w:t xml:space="preserve"> İngilizce Düzey Belirleme Sınavın</w:t>
      </w:r>
      <w:r w:rsidR="00CF2E68" w:rsidRPr="007F1DDF">
        <w:t>a</w:t>
      </w:r>
      <w:r w:rsidRPr="007F1DDF">
        <w:t xml:space="preserve"> tabi tutulurlar. </w:t>
      </w:r>
    </w:p>
    <w:p w:rsidR="00DD034C" w:rsidRPr="007F1DDF" w:rsidRDefault="00CF2E68" w:rsidP="00DA4F0D">
      <w:pPr>
        <w:ind w:right="-177"/>
        <w:jc w:val="both"/>
      </w:pPr>
      <w:r w:rsidRPr="007F1DDF">
        <w:tab/>
        <w:t xml:space="preserve">(2) İngilizce </w:t>
      </w:r>
      <w:r w:rsidR="00DD034C" w:rsidRPr="007F1DDF">
        <w:t>Düzey Belirleme Sınavından alınan puana göre öğrencinin;</w:t>
      </w:r>
    </w:p>
    <w:p w:rsidR="0079646A" w:rsidRPr="007F1DDF" w:rsidRDefault="00DD034C" w:rsidP="00DA4F0D">
      <w:pPr>
        <w:tabs>
          <w:tab w:val="left" w:pos="993"/>
        </w:tabs>
        <w:ind w:left="567" w:right="-177" w:firstLine="142"/>
        <w:jc w:val="both"/>
      </w:pPr>
      <w:r w:rsidRPr="007F1DDF">
        <w:tab/>
      </w:r>
      <w:r w:rsidR="005D4010" w:rsidRPr="007F1DDF">
        <w:t>(</w:t>
      </w:r>
      <w:r w:rsidR="0079646A" w:rsidRPr="007F1DDF">
        <w:t>a</w:t>
      </w:r>
      <w:r w:rsidRPr="007F1DDF">
        <w:t xml:space="preserve">) </w:t>
      </w:r>
      <w:r w:rsidR="0079646A" w:rsidRPr="007F1DDF">
        <w:t>İngilizce Hazırlık Programında h</w:t>
      </w:r>
      <w:r w:rsidR="009456D8" w:rsidRPr="007F1DDF">
        <w:t>angi seviyede öğrenim göreceği,</w:t>
      </w:r>
    </w:p>
    <w:p w:rsidR="0079646A" w:rsidRPr="007F1DDF" w:rsidRDefault="0079646A" w:rsidP="00DA4F0D">
      <w:pPr>
        <w:ind w:left="284" w:right="-177"/>
        <w:jc w:val="both"/>
      </w:pPr>
      <w:r w:rsidRPr="007F1DDF">
        <w:t xml:space="preserve">            (b) THKU Yeterlik Sınavı’</w:t>
      </w:r>
      <w:r w:rsidR="009456D8" w:rsidRPr="007F1DDF">
        <w:t>na girip giremeyeceği</w:t>
      </w:r>
      <w:r w:rsidRPr="007F1DDF">
        <w:t xml:space="preserve"> belirlenir.</w:t>
      </w:r>
    </w:p>
    <w:p w:rsidR="00DD034C" w:rsidRPr="007F1DDF" w:rsidRDefault="00DD034C" w:rsidP="00DA4F0D">
      <w:pPr>
        <w:ind w:right="-177" w:firstLine="708"/>
        <w:jc w:val="both"/>
      </w:pPr>
      <w:r w:rsidRPr="007F1DDF">
        <w:t xml:space="preserve">(3) Aşağıdaki öğrenciler </w:t>
      </w:r>
      <w:r w:rsidR="0079646A" w:rsidRPr="007F1DDF">
        <w:t>İngilizce Düzey Belirleme Sınavı ve THKU Yeterlik Sınavı’nda</w:t>
      </w:r>
      <w:r w:rsidR="000911D2" w:rsidRPr="007F1DDF">
        <w:t>n</w:t>
      </w:r>
      <w:r w:rsidR="0079646A" w:rsidRPr="007F1DDF">
        <w:t xml:space="preserve"> </w:t>
      </w:r>
      <w:r w:rsidRPr="007F1DDF">
        <w:t>muaftır:</w:t>
      </w:r>
    </w:p>
    <w:p w:rsidR="00DD034C" w:rsidRPr="007F1DDF" w:rsidRDefault="00DD034C" w:rsidP="00DA4F0D">
      <w:pPr>
        <w:tabs>
          <w:tab w:val="left" w:pos="993"/>
        </w:tabs>
        <w:ind w:right="-177" w:firstLine="709"/>
        <w:jc w:val="both"/>
      </w:pPr>
      <w:r w:rsidRPr="007F1DDF">
        <w:tab/>
      </w:r>
      <w:r w:rsidR="005D4010" w:rsidRPr="007F1DDF">
        <w:t>(</w:t>
      </w:r>
      <w:r w:rsidRPr="007F1DDF">
        <w:t>a) İngilizcenin anadil olarak konuşulduğu bir ülkede, İngilizce eğitim verilen or</w:t>
      </w:r>
      <w:r w:rsidR="008174CC" w:rsidRPr="007F1DDF">
        <w:t>taöğretim kurumları veya yüksek</w:t>
      </w:r>
      <w:r w:rsidRPr="007F1DDF">
        <w:t xml:space="preserve">öğretim kurumlarının birinde eğitiminin en az son üç yılını tamamlayanlar,  </w:t>
      </w:r>
    </w:p>
    <w:p w:rsidR="00A50038" w:rsidRPr="007F1DDF" w:rsidRDefault="00DD034C" w:rsidP="00DA4F0D">
      <w:pPr>
        <w:tabs>
          <w:tab w:val="left" w:pos="993"/>
        </w:tabs>
        <w:ind w:right="-177" w:firstLine="709"/>
        <w:jc w:val="both"/>
      </w:pPr>
      <w:r w:rsidRPr="007F1DDF">
        <w:tab/>
      </w:r>
      <w:r w:rsidR="00A50038" w:rsidRPr="007F1DDF">
        <w:t xml:space="preserve">(b) Aşağıdaki tablolarda belirtilen İngilizce sınav sonuç belgesine ve puanına sahip olan veya bu yönergenin 16 </w:t>
      </w:r>
      <w:proofErr w:type="spellStart"/>
      <w:r w:rsidR="00A50038" w:rsidRPr="007F1DDF">
        <w:t>ncı</w:t>
      </w:r>
      <w:proofErr w:type="spellEnd"/>
      <w:r w:rsidR="00A50038" w:rsidRPr="007F1DDF">
        <w:t xml:space="preserve"> maddesi kapsamındaki öğrenciler:</w:t>
      </w:r>
    </w:p>
    <w:p w:rsidR="0079646A" w:rsidRPr="007F1DDF" w:rsidRDefault="0079646A" w:rsidP="00DA4F0D">
      <w:pPr>
        <w:tabs>
          <w:tab w:val="left" w:pos="993"/>
        </w:tabs>
        <w:ind w:right="-177"/>
        <w:jc w:val="both"/>
      </w:pPr>
    </w:p>
    <w:p w:rsidR="00A50038" w:rsidRPr="007F1DDF" w:rsidRDefault="00A50038" w:rsidP="00DA4F0D">
      <w:pPr>
        <w:ind w:left="567" w:right="-177"/>
        <w:jc w:val="both"/>
      </w:pPr>
      <w:r w:rsidRPr="007F1DDF">
        <w:t xml:space="preserve">Tablo 1: İngilizce Hazırlık Programı Muafiyeti için Geçerli Sınavlar ve Asgari Puanlar </w:t>
      </w:r>
    </w:p>
    <w:p w:rsidR="0079646A" w:rsidRPr="007F1DDF" w:rsidRDefault="0079646A" w:rsidP="00DA4F0D">
      <w:pPr>
        <w:ind w:right="-177"/>
        <w:jc w:val="both"/>
        <w:rPr>
          <w:b/>
        </w:rPr>
      </w:pPr>
    </w:p>
    <w:tbl>
      <w:tblPr>
        <w:tblW w:w="8501" w:type="dxa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462"/>
        <w:gridCol w:w="1646"/>
        <w:gridCol w:w="1279"/>
        <w:gridCol w:w="1281"/>
        <w:gridCol w:w="1281"/>
      </w:tblGrid>
      <w:tr w:rsidR="00F77D1C" w:rsidRPr="007F1DDF" w:rsidTr="004D6122">
        <w:trPr>
          <w:trHeight w:val="602"/>
        </w:trPr>
        <w:tc>
          <w:tcPr>
            <w:tcW w:w="1552" w:type="dxa"/>
            <w:vAlign w:val="center"/>
          </w:tcPr>
          <w:p w:rsidR="004D6122" w:rsidRPr="007F1DDF" w:rsidRDefault="004D6122" w:rsidP="00DA4F0D">
            <w:pPr>
              <w:ind w:right="-177"/>
              <w:jc w:val="center"/>
              <w:outlineLvl w:val="0"/>
              <w:rPr>
                <w:b/>
              </w:rPr>
            </w:pPr>
          </w:p>
          <w:p w:rsidR="004D6122" w:rsidRPr="007F1DDF" w:rsidRDefault="004D6122" w:rsidP="00DA4F0D">
            <w:pPr>
              <w:ind w:right="-177"/>
              <w:jc w:val="center"/>
              <w:outlineLvl w:val="0"/>
              <w:rPr>
                <w:b/>
              </w:rPr>
            </w:pPr>
            <w:r w:rsidRPr="007F1DDF">
              <w:rPr>
                <w:b/>
              </w:rPr>
              <w:t>THKU YETERLİK SINAVI</w:t>
            </w:r>
          </w:p>
        </w:tc>
        <w:tc>
          <w:tcPr>
            <w:tcW w:w="1462" w:type="dxa"/>
            <w:vAlign w:val="center"/>
          </w:tcPr>
          <w:p w:rsidR="004D6122" w:rsidRPr="007F1DDF" w:rsidRDefault="005D1E6A" w:rsidP="00DA4F0D">
            <w:pPr>
              <w:ind w:right="-177"/>
              <w:jc w:val="center"/>
              <w:outlineLvl w:val="0"/>
              <w:rPr>
                <w:b/>
              </w:rPr>
            </w:pPr>
            <w:r>
              <w:rPr>
                <w:b/>
              </w:rPr>
              <w:t>TOEFL-IBT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D6122" w:rsidRPr="007F1DDF" w:rsidRDefault="005D1E6A" w:rsidP="00DA4F0D">
            <w:pPr>
              <w:ind w:right="-177"/>
              <w:jc w:val="center"/>
              <w:rPr>
                <w:b/>
              </w:rPr>
            </w:pPr>
            <w:r>
              <w:rPr>
                <w:b/>
              </w:rPr>
              <w:t>TOEFL-ITP</w:t>
            </w:r>
          </w:p>
        </w:tc>
        <w:tc>
          <w:tcPr>
            <w:tcW w:w="1279" w:type="dxa"/>
            <w:vAlign w:val="center"/>
          </w:tcPr>
          <w:p w:rsidR="004D6122" w:rsidRPr="007F1DDF" w:rsidRDefault="004D6122" w:rsidP="00DA4F0D">
            <w:pPr>
              <w:ind w:right="-177"/>
              <w:jc w:val="center"/>
              <w:rPr>
                <w:b/>
              </w:rPr>
            </w:pPr>
            <w:r w:rsidRPr="007F1DDF">
              <w:rPr>
                <w:b/>
              </w:rPr>
              <w:t xml:space="preserve">PTE </w:t>
            </w:r>
            <w:proofErr w:type="spellStart"/>
            <w:r w:rsidRPr="007F1DDF">
              <w:rPr>
                <w:b/>
              </w:rPr>
              <w:t>Academic</w:t>
            </w:r>
            <w:proofErr w:type="spellEnd"/>
          </w:p>
        </w:tc>
        <w:tc>
          <w:tcPr>
            <w:tcW w:w="1281" w:type="dxa"/>
            <w:vAlign w:val="center"/>
          </w:tcPr>
          <w:p w:rsidR="004D6122" w:rsidRPr="007F1DDF" w:rsidRDefault="004D6122" w:rsidP="00DA4F0D">
            <w:pPr>
              <w:ind w:right="-177"/>
              <w:jc w:val="center"/>
              <w:rPr>
                <w:b/>
              </w:rPr>
            </w:pPr>
            <w:r w:rsidRPr="007F1DDF">
              <w:rPr>
                <w:b/>
              </w:rPr>
              <w:t>PTE General</w:t>
            </w:r>
          </w:p>
        </w:tc>
        <w:tc>
          <w:tcPr>
            <w:tcW w:w="1281" w:type="dxa"/>
          </w:tcPr>
          <w:p w:rsidR="004D6122" w:rsidRPr="007F1DDF" w:rsidRDefault="004D6122" w:rsidP="00DA4F0D">
            <w:pPr>
              <w:ind w:right="-177"/>
              <w:jc w:val="center"/>
              <w:rPr>
                <w:b/>
              </w:rPr>
            </w:pPr>
          </w:p>
          <w:p w:rsidR="004D6122" w:rsidRPr="007F1DDF" w:rsidRDefault="0014377F" w:rsidP="00DA4F0D">
            <w:pPr>
              <w:ind w:right="-177"/>
              <w:rPr>
                <w:b/>
              </w:rPr>
            </w:pPr>
            <w:r w:rsidRPr="007F1DDF">
              <w:rPr>
                <w:b/>
              </w:rPr>
              <w:t xml:space="preserve">  </w:t>
            </w:r>
            <w:r w:rsidR="004D6122" w:rsidRPr="007F1DDF">
              <w:rPr>
                <w:b/>
              </w:rPr>
              <w:t>YDS /e-YDS</w:t>
            </w:r>
          </w:p>
        </w:tc>
      </w:tr>
      <w:tr w:rsidR="00F77D1C" w:rsidRPr="007F1DDF" w:rsidTr="004D6122">
        <w:trPr>
          <w:trHeight w:val="349"/>
        </w:trPr>
        <w:tc>
          <w:tcPr>
            <w:tcW w:w="1552" w:type="dxa"/>
            <w:vAlign w:val="center"/>
          </w:tcPr>
          <w:p w:rsidR="004D6122" w:rsidRPr="007F1DDF" w:rsidRDefault="004D6122" w:rsidP="00DA4F0D">
            <w:pPr>
              <w:spacing w:before="240"/>
              <w:ind w:right="-177"/>
              <w:jc w:val="center"/>
              <w:outlineLvl w:val="0"/>
            </w:pPr>
            <w:r w:rsidRPr="007F1DDF">
              <w:t>60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D6122" w:rsidRPr="007F1DDF" w:rsidRDefault="004D6122" w:rsidP="00DA4F0D">
            <w:pPr>
              <w:spacing w:before="240"/>
              <w:ind w:right="-177"/>
              <w:jc w:val="center"/>
              <w:outlineLvl w:val="0"/>
            </w:pPr>
            <w:r w:rsidRPr="007F1DDF">
              <w:t>61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D6122" w:rsidRPr="007F1DDF" w:rsidRDefault="004D6122" w:rsidP="00DA4F0D">
            <w:pPr>
              <w:spacing w:before="240"/>
              <w:ind w:right="-177"/>
              <w:jc w:val="center"/>
            </w:pPr>
            <w:r w:rsidRPr="007F1DDF">
              <w:t>500</w:t>
            </w:r>
          </w:p>
        </w:tc>
        <w:tc>
          <w:tcPr>
            <w:tcW w:w="1279" w:type="dxa"/>
            <w:vAlign w:val="center"/>
          </w:tcPr>
          <w:p w:rsidR="004D6122" w:rsidRPr="007F1DDF" w:rsidRDefault="004D6122" w:rsidP="00DA4F0D">
            <w:pPr>
              <w:spacing w:before="240"/>
              <w:ind w:right="-177"/>
              <w:jc w:val="center"/>
            </w:pPr>
            <w:r w:rsidRPr="007F1DDF">
              <w:t>46</w:t>
            </w:r>
          </w:p>
        </w:tc>
        <w:tc>
          <w:tcPr>
            <w:tcW w:w="1281" w:type="dxa"/>
            <w:vAlign w:val="center"/>
          </w:tcPr>
          <w:p w:rsidR="004D6122" w:rsidRPr="007F1DDF" w:rsidRDefault="004D6122" w:rsidP="00DA4F0D">
            <w:pPr>
              <w:spacing w:before="240"/>
              <w:ind w:right="-177"/>
              <w:jc w:val="center"/>
            </w:pPr>
            <w:r w:rsidRPr="007F1DDF">
              <w:t>Level 2</w:t>
            </w:r>
          </w:p>
        </w:tc>
        <w:tc>
          <w:tcPr>
            <w:tcW w:w="1281" w:type="dxa"/>
          </w:tcPr>
          <w:p w:rsidR="004D6122" w:rsidRPr="007F1DDF" w:rsidRDefault="004D6122" w:rsidP="00DA4F0D">
            <w:pPr>
              <w:spacing w:before="240"/>
              <w:ind w:right="-177"/>
              <w:jc w:val="center"/>
            </w:pPr>
            <w:r w:rsidRPr="007F1DDF">
              <w:t>55</w:t>
            </w:r>
          </w:p>
        </w:tc>
      </w:tr>
    </w:tbl>
    <w:p w:rsidR="00EE3861" w:rsidRPr="007F1DDF" w:rsidRDefault="00EE3861" w:rsidP="00DA4F0D">
      <w:pPr>
        <w:ind w:right="-177"/>
        <w:jc w:val="both"/>
      </w:pPr>
    </w:p>
    <w:p w:rsidR="005D1E6A" w:rsidRPr="0096067D" w:rsidRDefault="005D1E6A" w:rsidP="00DA4F0D">
      <w:pPr>
        <w:ind w:left="567" w:right="-177"/>
        <w:jc w:val="both"/>
      </w:pPr>
      <w:r w:rsidRPr="0096067D">
        <w:t>* TOEFL IBT</w:t>
      </w:r>
      <w:r w:rsidR="00A50038" w:rsidRPr="0096067D">
        <w:t xml:space="preserve"> </w:t>
      </w:r>
      <w:r w:rsidRPr="0096067D">
        <w:t>– Home Edition kabul edilir.</w:t>
      </w:r>
    </w:p>
    <w:p w:rsidR="005D1E6A" w:rsidRPr="0096067D" w:rsidRDefault="005D1E6A" w:rsidP="00DA4F0D">
      <w:pPr>
        <w:ind w:left="567" w:right="-177"/>
        <w:jc w:val="both"/>
      </w:pPr>
      <w:r w:rsidRPr="0096067D">
        <w:t>** TOEFL IBT s</w:t>
      </w:r>
      <w:r w:rsidR="00DA7A4E" w:rsidRPr="0096067D">
        <w:t>onuçları değerlendirilirken “</w:t>
      </w:r>
      <w:proofErr w:type="spellStart"/>
      <w:r w:rsidR="00DA7A4E" w:rsidRPr="0096067D">
        <w:t>My</w:t>
      </w:r>
      <w:r w:rsidRPr="0096067D">
        <w:t>Best</w:t>
      </w:r>
      <w:proofErr w:type="spellEnd"/>
      <w:r w:rsidRPr="0096067D">
        <w:t xml:space="preserve"> </w:t>
      </w:r>
      <w:proofErr w:type="spellStart"/>
      <w:r w:rsidRPr="0096067D">
        <w:t>Scores</w:t>
      </w:r>
      <w:proofErr w:type="spellEnd"/>
      <w:r w:rsidRPr="0096067D">
        <w:t>” kabul edilir.</w:t>
      </w:r>
    </w:p>
    <w:p w:rsidR="00A22B0B" w:rsidRDefault="00A22B0B" w:rsidP="00DA4F0D">
      <w:pPr>
        <w:ind w:left="567" w:right="-177"/>
        <w:jc w:val="both"/>
      </w:pPr>
      <w:r w:rsidRPr="0096067D">
        <w:t>*** THKU Yeterlik Sınavı değerlendirilirken</w:t>
      </w:r>
      <w:r w:rsidR="004539AF">
        <w:t xml:space="preserve"> </w:t>
      </w:r>
      <w:r w:rsidR="00901898" w:rsidRPr="0096067D">
        <w:t>daha önce girmiş oldukları</w:t>
      </w:r>
      <w:r w:rsidRPr="0096067D">
        <w:t xml:space="preserve"> </w:t>
      </w:r>
      <w:r w:rsidR="00DA7A4E" w:rsidRPr="0096067D">
        <w:t xml:space="preserve">THKU </w:t>
      </w:r>
      <w:r w:rsidRPr="0096067D">
        <w:t>İngilizce Yeterlik Sınavı</w:t>
      </w:r>
      <w:r w:rsidR="00901898" w:rsidRPr="0096067D">
        <w:t xml:space="preserve"> bileşenlerinden en yüksek </w:t>
      </w:r>
      <w:r w:rsidR="00DA7A4E" w:rsidRPr="0096067D">
        <w:t xml:space="preserve">almış oldukları puan kabul </w:t>
      </w:r>
      <w:r w:rsidR="00901898" w:rsidRPr="0096067D">
        <w:t>edilir.</w:t>
      </w:r>
    </w:p>
    <w:p w:rsidR="005D1E6A" w:rsidRDefault="005D1E6A" w:rsidP="00DA4F0D">
      <w:pPr>
        <w:ind w:right="-177"/>
        <w:jc w:val="both"/>
      </w:pPr>
    </w:p>
    <w:p w:rsidR="0096067D" w:rsidRDefault="000911D2" w:rsidP="00DA4F0D">
      <w:pPr>
        <w:ind w:right="-177"/>
        <w:jc w:val="both"/>
      </w:pPr>
      <w:r w:rsidRPr="007F1DDF">
        <w:t>(4</w:t>
      </w:r>
      <w:r w:rsidR="00DD034C" w:rsidRPr="007F1DDF">
        <w:t>) Üçüncü fıkranın (b) bendi kapsamına giren sınavlarda alınan puanın bu yönerge hükümlerine göre değerlendirmeye alınabilmesi için,</w:t>
      </w:r>
      <w:r w:rsidR="00D40CE0" w:rsidRPr="007F1DDF">
        <w:t xml:space="preserve"> </w:t>
      </w:r>
      <w:r w:rsidR="0014324F" w:rsidRPr="0096067D">
        <w:t>YDS ve e-YDS sınavlarının sonuç açıklama tarihinden itibaren beş yılın; diğer sınavların</w:t>
      </w:r>
      <w:r w:rsidR="0096067D" w:rsidRPr="0096067D">
        <w:t xml:space="preserve"> </w:t>
      </w:r>
      <w:r w:rsidR="00400E1D" w:rsidRPr="0096067D">
        <w:t>yapıldığı tarihten itibaren üç</w:t>
      </w:r>
      <w:r w:rsidRPr="0096067D">
        <w:t xml:space="preserve"> yılın geçmemesi gerekmektedir</w:t>
      </w:r>
      <w:r w:rsidR="00741AA7" w:rsidRPr="0096067D">
        <w:t>.</w:t>
      </w:r>
    </w:p>
    <w:p w:rsidR="006E491F" w:rsidRPr="007F1DDF" w:rsidRDefault="00741AA7" w:rsidP="00DA4F0D">
      <w:pPr>
        <w:ind w:right="-177"/>
        <w:jc w:val="both"/>
      </w:pPr>
      <w:r w:rsidRPr="007F1DDF">
        <w:t xml:space="preserve"> </w:t>
      </w:r>
    </w:p>
    <w:p w:rsidR="00DD034C" w:rsidRPr="007F1DDF" w:rsidRDefault="00DD034C" w:rsidP="00DA4F0D">
      <w:pPr>
        <w:ind w:right="-177" w:firstLine="720"/>
        <w:jc w:val="both"/>
        <w:rPr>
          <w:b/>
        </w:rPr>
      </w:pPr>
      <w:r w:rsidRPr="007F1DDF">
        <w:rPr>
          <w:b/>
        </w:rPr>
        <w:t xml:space="preserve">Eğitim-öğretim süresi </w:t>
      </w:r>
    </w:p>
    <w:p w:rsidR="00DD034C" w:rsidRPr="007F1DDF" w:rsidRDefault="00DD034C" w:rsidP="00DA4F0D">
      <w:pPr>
        <w:ind w:right="-177" w:firstLine="708"/>
        <w:jc w:val="both"/>
      </w:pPr>
      <w:r w:rsidRPr="007F1DDF">
        <w:rPr>
          <w:b/>
        </w:rPr>
        <w:t>MADDE 7-</w:t>
      </w:r>
      <w:r w:rsidR="00886637" w:rsidRPr="007F1DDF">
        <w:rPr>
          <w:b/>
        </w:rPr>
        <w:t xml:space="preserve"> </w:t>
      </w:r>
      <w:r w:rsidRPr="007F1DDF">
        <w:t xml:space="preserve">(1) </w:t>
      </w:r>
      <w:r w:rsidR="006E491F" w:rsidRPr="007F1DDF">
        <w:t>İngilizce Hazırlık Programında</w:t>
      </w:r>
      <w:r w:rsidR="00DA706F" w:rsidRPr="007F1DDF">
        <w:t xml:space="preserve"> azami </w:t>
      </w:r>
      <w:r w:rsidR="006E491F" w:rsidRPr="007F1DDF">
        <w:t xml:space="preserve">öğrenim süresi </w:t>
      </w:r>
      <w:r w:rsidR="00DA706F" w:rsidRPr="007F1DDF">
        <w:t xml:space="preserve">toplam dört yarıyıldır. </w:t>
      </w:r>
      <w:r w:rsidRPr="007F1DDF">
        <w:t>İngilizce Hazırlık Programında geçen öğrenim süresi lisans eğitim-öğretim süresinden sayılmaz.</w:t>
      </w:r>
    </w:p>
    <w:p w:rsidR="008174CC" w:rsidRPr="007F1DDF" w:rsidRDefault="006E491F" w:rsidP="00DA4F0D">
      <w:pPr>
        <w:ind w:right="-177" w:firstLine="708"/>
        <w:jc w:val="both"/>
      </w:pPr>
      <w:r w:rsidRPr="007F1DDF">
        <w:t xml:space="preserve"> (2) İngilizce Hazırlık Programını</w:t>
      </w:r>
      <w:r w:rsidR="00D84314" w:rsidRPr="007F1DDF">
        <w:t xml:space="preserve"> </w:t>
      </w:r>
      <w:r w:rsidRPr="007F1DDF">
        <w:t>dört yarıyıl sonunda başarı ile tamamlayamayan öğrencilerin kayıtlı oldukları lisans programlarından ilişikleri kesilir. B</w:t>
      </w:r>
      <w:r w:rsidR="008174CC" w:rsidRPr="007F1DDF">
        <w:t xml:space="preserve">u öğrenciler öğretim dili Türkçe olan eşdeğer bir programa yerleştirilmek üzere Öğrenci Seçme ve Yerleştirme Merkezine başvurabilirler. </w:t>
      </w:r>
    </w:p>
    <w:p w:rsidR="00DD034C" w:rsidRPr="007F1DDF" w:rsidRDefault="00856F9D" w:rsidP="00DA4F0D">
      <w:pPr>
        <w:ind w:right="-177" w:firstLine="708"/>
        <w:jc w:val="both"/>
      </w:pPr>
      <w:r w:rsidRPr="007F1DDF">
        <w:lastRenderedPageBreak/>
        <w:t>(</w:t>
      </w:r>
      <w:r w:rsidR="006E491F" w:rsidRPr="007F1DDF">
        <w:t>3</w:t>
      </w:r>
      <w:r w:rsidR="00DD034C" w:rsidRPr="007F1DDF">
        <w:t xml:space="preserve">) Öğrenciler, </w:t>
      </w:r>
      <w:r w:rsidR="00DD034C" w:rsidRPr="007F1DDF">
        <w:rPr>
          <w:shd w:val="clear" w:color="auto" w:fill="FFFFFF"/>
        </w:rPr>
        <w:t xml:space="preserve">Üniversitenin </w:t>
      </w:r>
      <w:r w:rsidRPr="007F1DDF">
        <w:rPr>
          <w:shd w:val="clear" w:color="auto" w:fill="FFFFFF"/>
        </w:rPr>
        <w:t xml:space="preserve">anlaşmalı olduğu </w:t>
      </w:r>
      <w:r w:rsidR="00DD034C" w:rsidRPr="007F1DDF">
        <w:rPr>
          <w:shd w:val="clear" w:color="auto" w:fill="FFFFFF"/>
        </w:rPr>
        <w:t xml:space="preserve">yurt dışındaki </w:t>
      </w:r>
      <w:r w:rsidRPr="007F1DDF">
        <w:rPr>
          <w:shd w:val="clear" w:color="auto" w:fill="FFFFFF"/>
        </w:rPr>
        <w:t xml:space="preserve">üniversite ya da dil kurslarında </w:t>
      </w:r>
      <w:r w:rsidR="00DD034C" w:rsidRPr="007F1DDF">
        <w:t xml:space="preserve">İngilizce eğitimi için izin alabilirler. Bu süre, İngilizce Hazırlık Programı </w:t>
      </w:r>
      <w:r w:rsidR="0056108C" w:rsidRPr="007F1DDF">
        <w:t xml:space="preserve">eğitim-öğretim süresinden sayılır. </w:t>
      </w:r>
      <w:r w:rsidR="00DD034C" w:rsidRPr="007F1DDF">
        <w:t xml:space="preserve">Öğrencilerin diğer nedenlerle izinli oldukları süreler İngilizce Hazırlık Programı eğitim-öğretim süresine dâhil değildir.  </w:t>
      </w:r>
    </w:p>
    <w:p w:rsidR="00FE049E" w:rsidRPr="007F1DDF" w:rsidRDefault="00856F9D" w:rsidP="00DA4F0D">
      <w:pPr>
        <w:ind w:right="-177" w:firstLine="708"/>
        <w:jc w:val="both"/>
      </w:pPr>
      <w:r w:rsidRPr="007F1DDF">
        <w:t>(</w:t>
      </w:r>
      <w:r w:rsidR="006E491F" w:rsidRPr="007F1DDF">
        <w:t>4</w:t>
      </w:r>
      <w:r w:rsidR="00DD034C" w:rsidRPr="007F1DDF">
        <w:t xml:space="preserve">) İngilizce Hazırlık Programında her yarıyıldaki haftalık toplam ders saati ve yarıyılın başlama ve sona erme tarihleri </w:t>
      </w:r>
      <w:r w:rsidR="00E67E4D" w:rsidRPr="007F1DDF">
        <w:t>Yabancı Diller Bölüm</w:t>
      </w:r>
      <w:r w:rsidR="00DD034C" w:rsidRPr="007F1DDF">
        <w:t xml:space="preserve"> Başkanlığı önerisi üzerine Senato kara</w:t>
      </w:r>
      <w:r w:rsidR="00AA3F67" w:rsidRPr="007F1DDF">
        <w:t>rı ile kesinleşerek uygulanır.</w:t>
      </w:r>
    </w:p>
    <w:p w:rsidR="002327C2" w:rsidRPr="007F1DDF" w:rsidRDefault="00DD034C" w:rsidP="00DA4F0D">
      <w:pPr>
        <w:ind w:right="-177" w:firstLine="708"/>
        <w:rPr>
          <w:b/>
        </w:rPr>
      </w:pPr>
      <w:r w:rsidRPr="007F1DDF">
        <w:rPr>
          <w:b/>
        </w:rPr>
        <w:t>Programların düzeyleri ve süreleri</w:t>
      </w:r>
    </w:p>
    <w:p w:rsidR="00DD034C" w:rsidRPr="007F1DDF" w:rsidRDefault="00DD034C" w:rsidP="00DA4F0D">
      <w:pPr>
        <w:ind w:right="-177" w:firstLine="708"/>
        <w:jc w:val="both"/>
      </w:pPr>
      <w:r w:rsidRPr="007F1DDF">
        <w:rPr>
          <w:b/>
        </w:rPr>
        <w:t>MADDE 8-</w:t>
      </w:r>
      <w:r w:rsidRPr="007F1DDF">
        <w:t xml:space="preserve">(1) İngilizce Hazırlık Programı iki yarıyıldan oluşur. İkinci yarıyıl iki ayrı </w:t>
      </w:r>
      <w:proofErr w:type="gramStart"/>
      <w:r w:rsidRPr="007F1DDF">
        <w:t>periyot</w:t>
      </w:r>
      <w:proofErr w:type="gramEnd"/>
      <w:r w:rsidRPr="007F1DDF">
        <w:t xml:space="preserve"> olarak uygulanır. </w:t>
      </w:r>
    </w:p>
    <w:p w:rsidR="005D1E6A" w:rsidRDefault="00DD034C" w:rsidP="00DA4F0D">
      <w:pPr>
        <w:ind w:right="-177" w:firstLine="720"/>
        <w:jc w:val="both"/>
      </w:pPr>
      <w:r w:rsidRPr="007F1DDF">
        <w:t>(2</w:t>
      </w:r>
      <w:r w:rsidR="00856F9D" w:rsidRPr="007F1DDF">
        <w:t xml:space="preserve">) İngilizce Hazırlık Programı </w:t>
      </w:r>
      <w:r w:rsidR="00403E75" w:rsidRPr="007F1DDF">
        <w:t xml:space="preserve">Alpha, </w:t>
      </w:r>
      <w:r w:rsidR="00442FCA" w:rsidRPr="007F1DDF">
        <w:t>Bravo</w:t>
      </w:r>
      <w:r w:rsidR="008A1CEC" w:rsidRPr="007F1DDF">
        <w:t xml:space="preserve"> ve </w:t>
      </w:r>
      <w:r w:rsidR="00603095" w:rsidRPr="007F1DDF">
        <w:t xml:space="preserve">Charlie olmak </w:t>
      </w:r>
      <w:r w:rsidR="00856F9D" w:rsidRPr="007F1DDF">
        <w:t xml:space="preserve">üzere </w:t>
      </w:r>
      <w:r w:rsidR="00603095" w:rsidRPr="007F1DDF">
        <w:t>üç</w:t>
      </w:r>
      <w:r w:rsidR="00856F9D" w:rsidRPr="007F1DDF">
        <w:t xml:space="preserve"> </w:t>
      </w:r>
      <w:r w:rsidR="003C7239" w:rsidRPr="007F1DDF">
        <w:t>düzeyden oluşmaktadır</w:t>
      </w:r>
      <w:r w:rsidRPr="007F1DDF">
        <w:t xml:space="preserve">. </w:t>
      </w:r>
      <w:r w:rsidR="00603095" w:rsidRPr="007F1DDF">
        <w:t>Alpha, Bravo</w:t>
      </w:r>
      <w:r w:rsidR="008A1CEC" w:rsidRPr="007F1DDF">
        <w:t xml:space="preserve"> ve </w:t>
      </w:r>
      <w:r w:rsidR="005361F9" w:rsidRPr="007F1DDF">
        <w:t xml:space="preserve">Charlie düzeylerinin her birinde </w:t>
      </w:r>
      <w:r w:rsidR="00603095" w:rsidRPr="007F1DDF">
        <w:t>eğitim süresi iki yarıyıldır.</w:t>
      </w:r>
    </w:p>
    <w:p w:rsidR="008A1CEC" w:rsidRPr="007F1DDF" w:rsidRDefault="00603095" w:rsidP="00DA4F0D">
      <w:pPr>
        <w:ind w:right="-177" w:firstLine="720"/>
        <w:jc w:val="both"/>
      </w:pPr>
      <w:r w:rsidRPr="007F1DDF">
        <w:t xml:space="preserve"> </w:t>
      </w:r>
    </w:p>
    <w:p w:rsidR="00403E75" w:rsidRPr="007F1DDF" w:rsidRDefault="001A3A90" w:rsidP="00DA4F0D">
      <w:pPr>
        <w:ind w:right="-177"/>
        <w:rPr>
          <w:b/>
        </w:rPr>
      </w:pPr>
      <w:r w:rsidRPr="007F1DDF">
        <w:rPr>
          <w:b/>
        </w:rPr>
        <w:t xml:space="preserve">   </w:t>
      </w:r>
      <w:r w:rsidR="003600D7" w:rsidRPr="007F1DDF">
        <w:rPr>
          <w:b/>
        </w:rPr>
        <w:tab/>
      </w:r>
      <w:r w:rsidR="00DD034C" w:rsidRPr="007F1DDF">
        <w:rPr>
          <w:b/>
        </w:rPr>
        <w:t xml:space="preserve">İngilizce hazırlık programı düzeylerinin uygulama esasları </w:t>
      </w:r>
    </w:p>
    <w:p w:rsidR="00403E75" w:rsidRPr="007F1DDF" w:rsidRDefault="00DD034C" w:rsidP="00DA4F0D">
      <w:pPr>
        <w:ind w:right="-177" w:firstLine="708"/>
        <w:jc w:val="both"/>
      </w:pPr>
      <w:r w:rsidRPr="007F1DDF">
        <w:rPr>
          <w:b/>
        </w:rPr>
        <w:t>MADDE 9-</w:t>
      </w:r>
      <w:r w:rsidR="00403E75" w:rsidRPr="007F1DDF">
        <w:t>(1) Alpha</w:t>
      </w:r>
      <w:r w:rsidR="00603095" w:rsidRPr="007F1DDF">
        <w:t xml:space="preserve">, </w:t>
      </w:r>
      <w:r w:rsidR="004B3940" w:rsidRPr="007F1DDF">
        <w:t xml:space="preserve"> </w:t>
      </w:r>
      <w:r w:rsidR="00E31CEC" w:rsidRPr="007F1DDF">
        <w:t>Bravo</w:t>
      </w:r>
      <w:r w:rsidR="00E174C0" w:rsidRPr="007F1DDF">
        <w:t xml:space="preserve"> </w:t>
      </w:r>
      <w:r w:rsidR="00603095" w:rsidRPr="007F1DDF">
        <w:t xml:space="preserve">ve Charlie </w:t>
      </w:r>
      <w:r w:rsidR="004B3940" w:rsidRPr="007F1DDF">
        <w:t>düzey</w:t>
      </w:r>
      <w:r w:rsidR="005167EA" w:rsidRPr="007F1DDF">
        <w:t>i</w:t>
      </w:r>
      <w:r w:rsidRPr="007F1DDF">
        <w:t xml:space="preserve"> öğrencileri </w:t>
      </w:r>
      <w:r w:rsidRPr="007F1DDF">
        <w:rPr>
          <w:shd w:val="clear" w:color="auto" w:fill="FFFFFF"/>
        </w:rPr>
        <w:t>bu yönergenin 10 uncu ve 14 üncü</w:t>
      </w:r>
      <w:r w:rsidRPr="007F1DDF">
        <w:t xml:space="preserve"> maddelerinde belirtilen esasları yerine getirmeleri şartıyla ikinci ya</w:t>
      </w:r>
      <w:r w:rsidR="00520425" w:rsidRPr="007F1DDF">
        <w:t xml:space="preserve">rıyılın sonunda yapılacak olan </w:t>
      </w:r>
      <w:r w:rsidR="006731CD" w:rsidRPr="007F1DDF">
        <w:t xml:space="preserve">THKU </w:t>
      </w:r>
      <w:r w:rsidR="00BC323C" w:rsidRPr="007F1DDF">
        <w:t>Yeterlik Sınavı</w:t>
      </w:r>
      <w:r w:rsidRPr="007F1DDF">
        <w:t>na girerler. Başarılı olanlar, İngilizce Hazırlık Programını tamamlamış sayılır ve kayıtlı oldukları lisans programlarında öğrenimlerine devam ederler. Bu sı</w:t>
      </w:r>
      <w:r w:rsidR="00403E75" w:rsidRPr="007F1DDF">
        <w:t xml:space="preserve">navda başarısız olan öğrenciler </w:t>
      </w:r>
      <w:r w:rsidR="00B54859" w:rsidRPr="007F1DDF">
        <w:t xml:space="preserve">ise </w:t>
      </w:r>
      <w:r w:rsidR="00DE206D" w:rsidRPr="007F1DDF">
        <w:t>takip eden akademik yılbaşında yapılacak olan THKU Yeterlik Sınavı</w:t>
      </w:r>
      <w:r w:rsidR="00B54859" w:rsidRPr="007F1DDF">
        <w:t>na girebilirler. Başarılı olanlar,  kayıtlı oldukları lisans programlarında öğrenimlerine devam ederler; başarısız olanlar</w:t>
      </w:r>
      <w:r w:rsidR="00DE206D" w:rsidRPr="007F1DDF">
        <w:t xml:space="preserve"> ise İngilizce Hazırlık Programına </w:t>
      </w:r>
      <w:r w:rsidR="002327C2" w:rsidRPr="007F1DDF">
        <w:t xml:space="preserve">üçüncü ve </w:t>
      </w:r>
      <w:r w:rsidR="00B54859" w:rsidRPr="007F1DDF">
        <w:t xml:space="preserve">dördüncü yarıyılda </w:t>
      </w:r>
      <w:r w:rsidR="00A52E68" w:rsidRPr="007F1DDF">
        <w:t>devam eder</w:t>
      </w:r>
      <w:r w:rsidR="00DE206D" w:rsidRPr="007F1DDF">
        <w:t xml:space="preserve"> veya </w:t>
      </w:r>
      <w:r w:rsidR="003C7239" w:rsidRPr="007F1DDF">
        <w:t>İngilizce bilgilerini</w:t>
      </w:r>
      <w:r w:rsidRPr="007F1DDF">
        <w:t xml:space="preserve"> kendi im</w:t>
      </w:r>
      <w:r w:rsidR="003B5581" w:rsidRPr="007F1DDF">
        <w:t>kânla</w:t>
      </w:r>
      <w:r w:rsidR="00B54859" w:rsidRPr="007F1DDF">
        <w:t>rıyla</w:t>
      </w:r>
      <w:r w:rsidR="00DE206D" w:rsidRPr="007F1DDF">
        <w:t xml:space="preserve"> geliştirebilirler.   </w:t>
      </w:r>
    </w:p>
    <w:p w:rsidR="007226FB" w:rsidRPr="007F1DDF" w:rsidRDefault="00DD034C" w:rsidP="00DA4F0D">
      <w:pPr>
        <w:tabs>
          <w:tab w:val="left" w:pos="851"/>
        </w:tabs>
        <w:ind w:right="-177"/>
        <w:jc w:val="both"/>
      </w:pPr>
      <w:r w:rsidRPr="007F1DDF">
        <w:tab/>
      </w:r>
      <w:r w:rsidR="00603095" w:rsidRPr="007F1DDF">
        <w:t>(2</w:t>
      </w:r>
      <w:r w:rsidR="003C7239" w:rsidRPr="007F1DDF">
        <w:t>) İngilizce Hazırlık Programına</w:t>
      </w:r>
      <w:r w:rsidRPr="007F1DDF">
        <w:t xml:space="preserve"> </w:t>
      </w:r>
      <w:r w:rsidR="00B54859" w:rsidRPr="007F1DDF">
        <w:t xml:space="preserve">üçüncü ve dördüncü yarıyılda devam eden öğrenciler </w:t>
      </w:r>
      <w:r w:rsidRPr="007F1DDF">
        <w:t>bu yönergenin 10 uncu ve 14 üncü maddelerinde belirtilen esasları ye</w:t>
      </w:r>
      <w:r w:rsidR="00603095" w:rsidRPr="007F1DDF">
        <w:t>rine getirmeleri şartıyla dördüncü</w:t>
      </w:r>
      <w:r w:rsidRPr="007F1DDF">
        <w:t xml:space="preserve"> yarıyıl sonunda yapılacak </w:t>
      </w:r>
      <w:r w:rsidR="003C7239" w:rsidRPr="007F1DDF">
        <w:t xml:space="preserve">olan </w:t>
      </w:r>
      <w:r w:rsidR="006731CD" w:rsidRPr="007F1DDF">
        <w:t xml:space="preserve">THKU </w:t>
      </w:r>
      <w:r w:rsidR="00BC323C" w:rsidRPr="007F1DDF">
        <w:t>Yeterlik Sınavı</w:t>
      </w:r>
      <w:r w:rsidRPr="007F1DDF">
        <w:t xml:space="preserve">na </w:t>
      </w:r>
      <w:r w:rsidR="002327C2" w:rsidRPr="007F1DDF">
        <w:t>girebilirler.</w:t>
      </w:r>
      <w:r w:rsidR="00BD2914" w:rsidRPr="007F1DDF">
        <w:t xml:space="preserve"> </w:t>
      </w:r>
      <w:r w:rsidRPr="007F1DDF">
        <w:t>Başarılı olanlar İngilizce Hazırlık Programını tamamlamış sayılırlar ve kayıtlı oldukları lisans programına devam ede</w:t>
      </w:r>
      <w:r w:rsidR="0002205F" w:rsidRPr="007F1DDF">
        <w:t xml:space="preserve">rler. </w:t>
      </w:r>
      <w:r w:rsidR="00DE206D" w:rsidRPr="007F1DDF">
        <w:t xml:space="preserve">İngilizce bilgilerini kendi </w:t>
      </w:r>
      <w:r w:rsidR="00B54859" w:rsidRPr="007F1DDF">
        <w:t>imkânlarıyla</w:t>
      </w:r>
      <w:r w:rsidR="00DE206D" w:rsidRPr="007F1DDF">
        <w:t xml:space="preserve"> geliştirmek isteyen öğrenciler </w:t>
      </w:r>
      <w:r w:rsidR="002C355C" w:rsidRPr="007F1DDF">
        <w:t>ise dördüncü y</w:t>
      </w:r>
      <w:r w:rsidR="00B54859" w:rsidRPr="007F1DDF">
        <w:t>arı</w:t>
      </w:r>
      <w:r w:rsidR="002C355C" w:rsidRPr="007F1DDF">
        <w:t xml:space="preserve">yıl sonunda yapılacak olan sınava </w:t>
      </w:r>
      <w:r w:rsidR="00B54859" w:rsidRPr="007F1DDF">
        <w:t>giremezler. Bu öğrenciler takip eden akademik yılbaşında yapılacak olan THKU Yeterlik Sınavına girebilirler</w:t>
      </w:r>
      <w:r w:rsidR="00A52E68" w:rsidRPr="007F1DDF">
        <w:t xml:space="preserve"> ve başarılı oldukları takdirde kayıtlı oldukları lisans programına devam ederler.</w:t>
      </w:r>
    </w:p>
    <w:p w:rsidR="00DD034C" w:rsidRPr="007F1DDF" w:rsidRDefault="00DD034C" w:rsidP="00DA4F0D">
      <w:pPr>
        <w:ind w:right="-177" w:firstLine="708"/>
        <w:jc w:val="both"/>
        <w:rPr>
          <w:b/>
        </w:rPr>
      </w:pPr>
      <w:r w:rsidRPr="007F1DDF">
        <w:rPr>
          <w:b/>
        </w:rPr>
        <w:t>Derslere devam</w:t>
      </w:r>
    </w:p>
    <w:p w:rsidR="00DD034C" w:rsidRPr="007F1DDF" w:rsidRDefault="00DD034C" w:rsidP="00DA4F0D">
      <w:pPr>
        <w:ind w:right="-177"/>
        <w:jc w:val="both"/>
      </w:pPr>
      <w:r w:rsidRPr="007F1DDF">
        <w:rPr>
          <w:b/>
        </w:rPr>
        <w:tab/>
        <w:t>MADDE 10-</w:t>
      </w:r>
      <w:r w:rsidR="00886637" w:rsidRPr="007F1DDF">
        <w:rPr>
          <w:b/>
        </w:rPr>
        <w:t xml:space="preserve"> </w:t>
      </w:r>
      <w:r w:rsidRPr="007F1DDF">
        <w:t>(1) İngilizce Hazırlık Programınd</w:t>
      </w:r>
      <w:r w:rsidR="00740BB5" w:rsidRPr="007F1DDF">
        <w:t>a öğrenciler her yarıyılda</w:t>
      </w:r>
      <w:r w:rsidRPr="007F1DDF">
        <w:t xml:space="preserve"> derslerin en az yüzd</w:t>
      </w:r>
      <w:r w:rsidR="00740BB5" w:rsidRPr="007F1DDF">
        <w:t>e 90’ın</w:t>
      </w:r>
      <w:r w:rsidR="003F769C" w:rsidRPr="007F1DDF">
        <w:t>a</w:t>
      </w:r>
      <w:r w:rsidRPr="007F1DDF">
        <w:t xml:space="preserve"> devam etmek zorundadır. Devam zorunluluğu ikinci yarıyılın her bir periyodunda ayrı ayrı uygulanır. </w:t>
      </w:r>
    </w:p>
    <w:p w:rsidR="00C2529B" w:rsidRPr="007F1DDF" w:rsidRDefault="00DD034C" w:rsidP="00DA4F0D">
      <w:pPr>
        <w:ind w:right="-177" w:firstLine="708"/>
        <w:jc w:val="both"/>
      </w:pPr>
      <w:r w:rsidRPr="007F1DDF">
        <w:t xml:space="preserve">(2) Devamsızlık için </w:t>
      </w:r>
      <w:r w:rsidR="00740BB5" w:rsidRPr="007F1DDF">
        <w:t xml:space="preserve">aşağıdaki durumlar haricinde </w:t>
      </w:r>
      <w:r w:rsidRPr="007F1DDF">
        <w:t>mazeret kabul ed</w:t>
      </w:r>
      <w:r w:rsidR="00740BB5" w:rsidRPr="007F1DDF">
        <w:t xml:space="preserve">ilmez: </w:t>
      </w:r>
    </w:p>
    <w:p w:rsidR="00C2529B" w:rsidRPr="007F1DDF" w:rsidRDefault="00C2529B" w:rsidP="00DA4F0D">
      <w:pPr>
        <w:ind w:right="-177" w:firstLine="993"/>
        <w:jc w:val="both"/>
      </w:pPr>
      <w:r w:rsidRPr="007F1DDF">
        <w:t>(a) Devlet hastanesi ve Üniversite hastanelerinden alınan ve beş iş günü içerisinde teslim edilen sağlık raporları</w:t>
      </w:r>
    </w:p>
    <w:p w:rsidR="00740BB5" w:rsidRPr="007F1DDF" w:rsidRDefault="00C2529B" w:rsidP="00DA4F0D">
      <w:pPr>
        <w:ind w:right="-177" w:firstLine="993"/>
      </w:pPr>
      <w:r w:rsidRPr="007F1DDF">
        <w:t>(b</w:t>
      </w:r>
      <w:r w:rsidR="00740BB5" w:rsidRPr="007F1DDF">
        <w:t xml:space="preserve">) Belgelendirmek kaydıyla öğrencinin birinci dereceden yakın akrabalarından birinin vefat durumu </w:t>
      </w:r>
      <w:r w:rsidR="004142E5" w:rsidRPr="007F1DDF">
        <w:t>(beş iş günü süre ile)</w:t>
      </w:r>
    </w:p>
    <w:p w:rsidR="00740BB5" w:rsidRPr="007F1DDF" w:rsidRDefault="00C2529B" w:rsidP="00DA4F0D">
      <w:pPr>
        <w:ind w:right="-177" w:firstLine="993"/>
      </w:pPr>
      <w:r w:rsidRPr="007F1DDF">
        <w:t>(c</w:t>
      </w:r>
      <w:r w:rsidR="00122C39" w:rsidRPr="007F1DDF">
        <w:t xml:space="preserve">) </w:t>
      </w:r>
      <w:r w:rsidR="00740BB5" w:rsidRPr="007F1DDF">
        <w:t>Belgelendirmek kaydıyla yaralanmal</w:t>
      </w:r>
      <w:r w:rsidR="00122C39" w:rsidRPr="007F1DDF">
        <w:t xml:space="preserve">ı kaza (hastaneden ve trafikten </w:t>
      </w:r>
      <w:r w:rsidR="00740BB5" w:rsidRPr="007F1DDF">
        <w:t>alınacak belgeler ile)</w:t>
      </w:r>
    </w:p>
    <w:p w:rsidR="00122C39" w:rsidRPr="007F1DDF" w:rsidRDefault="005D1678" w:rsidP="00DA4F0D">
      <w:pPr>
        <w:ind w:right="-177" w:firstLine="993"/>
      </w:pPr>
      <w:r w:rsidRPr="007F1DDF">
        <w:t>(ç</w:t>
      </w:r>
      <w:r w:rsidR="00122C39" w:rsidRPr="007F1DDF">
        <w:t xml:space="preserve">) Hastaneden ameliyat olduğuna dair düzenlenen heyet raporunu </w:t>
      </w:r>
      <w:r w:rsidR="00513E35" w:rsidRPr="007F1DDF">
        <w:t>ameliyat tarih</w:t>
      </w:r>
      <w:r w:rsidR="00C2529B" w:rsidRPr="007F1DDF">
        <w:t>inden itibaren 5 iş</w:t>
      </w:r>
      <w:r w:rsidR="00513E35" w:rsidRPr="007F1DDF">
        <w:t xml:space="preserve"> gün</w:t>
      </w:r>
      <w:r w:rsidR="00C2529B" w:rsidRPr="007F1DDF">
        <w:t>ü</w:t>
      </w:r>
      <w:r w:rsidR="00513E35" w:rsidRPr="007F1DDF">
        <w:t xml:space="preserve"> içinde </w:t>
      </w:r>
      <w:r w:rsidR="00122C39" w:rsidRPr="007F1DDF">
        <w:t>ibraz e</w:t>
      </w:r>
      <w:r w:rsidR="004142E5" w:rsidRPr="007F1DDF">
        <w:t>tmek</w:t>
      </w:r>
      <w:r w:rsidR="00122C39" w:rsidRPr="007F1DDF">
        <w:t xml:space="preserve"> koşuluyla ameliyat durumu</w:t>
      </w:r>
      <w:r w:rsidR="00513E35" w:rsidRPr="007F1DDF">
        <w:t xml:space="preserve"> </w:t>
      </w:r>
    </w:p>
    <w:p w:rsidR="002C6433" w:rsidRPr="007F1DDF" w:rsidRDefault="005D1678" w:rsidP="00DA4F0D">
      <w:pPr>
        <w:ind w:right="-177" w:firstLine="993"/>
      </w:pPr>
      <w:r w:rsidRPr="007F1DDF">
        <w:t>(d</w:t>
      </w:r>
      <w:r w:rsidR="00BD2914" w:rsidRPr="007F1DDF">
        <w:t xml:space="preserve">) Rektörlük ve/veya Genel Sekreterlik Makamı tarafından </w:t>
      </w:r>
      <w:r w:rsidR="00122C39" w:rsidRPr="007F1DDF">
        <w:t xml:space="preserve">onaylanan sosyal ve sportif etkinliklere katılım </w:t>
      </w:r>
    </w:p>
    <w:p w:rsidR="00DD034C" w:rsidRPr="007F1DDF" w:rsidRDefault="00DD034C" w:rsidP="00DA4F0D">
      <w:pPr>
        <w:ind w:right="-177" w:firstLine="708"/>
        <w:jc w:val="both"/>
      </w:pPr>
      <w:r w:rsidRPr="007F1DDF">
        <w:t xml:space="preserve">(3) </w:t>
      </w:r>
      <w:r w:rsidR="00ED20AF" w:rsidRPr="007F1DDF">
        <w:t>Yukarıdaki se</w:t>
      </w:r>
      <w:r w:rsidR="00C659ED" w:rsidRPr="007F1DDF">
        <w:t>b</w:t>
      </w:r>
      <w:r w:rsidR="00ED20AF" w:rsidRPr="007F1DDF">
        <w:t>e</w:t>
      </w:r>
      <w:r w:rsidR="00C659ED" w:rsidRPr="007F1DDF">
        <w:t>p</w:t>
      </w:r>
      <w:r w:rsidR="00ED20AF" w:rsidRPr="007F1DDF">
        <w:t>ler dışında</w:t>
      </w:r>
      <w:r w:rsidRPr="007F1DDF">
        <w:t xml:space="preserve"> derse girmeyen öğrenci yoklamalarda yok gösterilir. </w:t>
      </w:r>
    </w:p>
    <w:p w:rsidR="00DD034C" w:rsidRPr="007F1DDF" w:rsidRDefault="00122C39" w:rsidP="00DA4F0D">
      <w:pPr>
        <w:ind w:right="-177" w:firstLine="708"/>
        <w:jc w:val="both"/>
      </w:pPr>
      <w:r w:rsidRPr="007F1DDF">
        <w:t>(4</w:t>
      </w:r>
      <w:r w:rsidR="00DD034C" w:rsidRPr="007F1DDF">
        <w:t>) Sınav saatleri devamsızlık hesaplamasında dikkate alınmaz. Sınava girmeyen öğrenciler yok</w:t>
      </w:r>
      <w:r w:rsidR="00BD2914" w:rsidRPr="007F1DDF">
        <w:t>lamalarda yok gösterilir. Ancak</w:t>
      </w:r>
      <w:r w:rsidR="00DD034C" w:rsidRPr="007F1DDF">
        <w:t xml:space="preserve"> devamsız sayılmazlar.</w:t>
      </w:r>
    </w:p>
    <w:p w:rsidR="00DD034C" w:rsidRPr="007F1DDF" w:rsidRDefault="00122C39" w:rsidP="00DA4F0D">
      <w:pPr>
        <w:ind w:right="-177" w:firstLine="708"/>
        <w:jc w:val="both"/>
      </w:pPr>
      <w:r w:rsidRPr="007F1DDF">
        <w:t>(5</w:t>
      </w:r>
      <w:r w:rsidR="00DD034C" w:rsidRPr="007F1DDF">
        <w:t>) Ders bitmeden sınıfı terk eden öğrenciler o dersin tamamında yok sayılır.</w:t>
      </w:r>
    </w:p>
    <w:p w:rsidR="00DD034C" w:rsidRPr="007F1DDF" w:rsidRDefault="00122C39" w:rsidP="00DA4F0D">
      <w:pPr>
        <w:ind w:right="-177" w:firstLine="708"/>
        <w:jc w:val="both"/>
      </w:pPr>
      <w:r w:rsidRPr="007F1DDF">
        <w:t>(6</w:t>
      </w:r>
      <w:r w:rsidR="00DD034C" w:rsidRPr="007F1DDF">
        <w:t>) Gerekli hallerde Yabancı Dil</w:t>
      </w:r>
      <w:r w:rsidR="00CB1FDE" w:rsidRPr="007F1DDF">
        <w:t>ler</w:t>
      </w:r>
      <w:r w:rsidR="00DD034C" w:rsidRPr="007F1DDF">
        <w:t xml:space="preserve"> Bölüm Başkanlığının önerisi ve Rektörlüğün onayı ile Cumartesi ve Pazar günleri de ders ve sınav yapılabilir. Bu günlerde yapılan derslere de devam zorunludur. </w:t>
      </w:r>
    </w:p>
    <w:p w:rsidR="00DD034C" w:rsidRPr="007F1DDF" w:rsidRDefault="00122C39" w:rsidP="00DA4F0D">
      <w:pPr>
        <w:ind w:right="-177" w:firstLine="708"/>
        <w:jc w:val="both"/>
      </w:pPr>
      <w:r w:rsidRPr="007F1DDF">
        <w:lastRenderedPageBreak/>
        <w:t>(</w:t>
      </w:r>
      <w:r w:rsidR="007E72B2" w:rsidRPr="007F1DDF">
        <w:t>7</w:t>
      </w:r>
      <w:r w:rsidR="00DD034C" w:rsidRPr="007F1DDF">
        <w:t xml:space="preserve">) Devam sorumluluğunu yerine getirmeyen öğrenciler </w:t>
      </w:r>
      <w:r w:rsidR="00BD2914" w:rsidRPr="007F1DDF">
        <w:t xml:space="preserve">ikinci </w:t>
      </w:r>
      <w:r w:rsidR="00DD034C" w:rsidRPr="007F1DDF">
        <w:t>yarıyıl sonund</w:t>
      </w:r>
      <w:r w:rsidR="00CB1FDE" w:rsidRPr="007F1DDF">
        <w:t xml:space="preserve">a yapılacak </w:t>
      </w:r>
      <w:r w:rsidR="00BD2914" w:rsidRPr="007F1DDF">
        <w:t xml:space="preserve">olan </w:t>
      </w:r>
      <w:r w:rsidR="006731CD" w:rsidRPr="007F1DDF">
        <w:t xml:space="preserve">THKU </w:t>
      </w:r>
      <w:r w:rsidR="00BC323C" w:rsidRPr="007F1DDF">
        <w:t>Yeterlik Sınavı</w:t>
      </w:r>
      <w:r w:rsidR="00DD034C" w:rsidRPr="007F1DDF">
        <w:t>na giremezler.</w:t>
      </w:r>
    </w:p>
    <w:p w:rsidR="00531B4F" w:rsidRPr="007F1DDF" w:rsidRDefault="00531B4F" w:rsidP="00DA4F0D">
      <w:pPr>
        <w:ind w:right="-177" w:firstLine="708"/>
        <w:jc w:val="both"/>
      </w:pPr>
      <w:r w:rsidRPr="007F1DDF">
        <w:t xml:space="preserve">(8) </w:t>
      </w:r>
      <w:r w:rsidR="00122978" w:rsidRPr="007F1DDF">
        <w:t xml:space="preserve">Akademik yıl </w:t>
      </w:r>
      <w:r w:rsidRPr="007F1DDF">
        <w:t xml:space="preserve">boyunca her bir </w:t>
      </w:r>
      <w:proofErr w:type="gramStart"/>
      <w:r w:rsidRPr="007F1DDF">
        <w:t>periyot</w:t>
      </w:r>
      <w:proofErr w:type="gramEnd"/>
      <w:r w:rsidRPr="007F1DDF">
        <w:t xml:space="preserve"> için yüzde 90 ve üzerinde</w:t>
      </w:r>
      <w:r w:rsidR="00612EB5" w:rsidRPr="007F1DDF">
        <w:t xml:space="preserve"> derslere devam eden öğrenciler için </w:t>
      </w:r>
      <w:r w:rsidRPr="007F1DDF">
        <w:t xml:space="preserve"> (Sağlık raporu olmaksızın) </w:t>
      </w:r>
      <w:r w:rsidR="00DE67FE" w:rsidRPr="007F1DDF">
        <w:t xml:space="preserve">yıl </w:t>
      </w:r>
      <w:r w:rsidR="00DE5E93" w:rsidRPr="007F1DDF">
        <w:t>sonu program başarı notuna 2</w:t>
      </w:r>
      <w:r w:rsidRPr="007F1DDF">
        <w:t xml:space="preserve"> puan eklenir. </w:t>
      </w:r>
    </w:p>
    <w:p w:rsidR="00741AA7" w:rsidRPr="007F1DDF" w:rsidRDefault="00741AA7" w:rsidP="00DA4F0D">
      <w:pPr>
        <w:ind w:right="-177"/>
        <w:rPr>
          <w:b/>
        </w:rPr>
      </w:pPr>
    </w:p>
    <w:p w:rsidR="00741AA7" w:rsidRPr="007F1DDF" w:rsidRDefault="00741AA7" w:rsidP="00DA4F0D">
      <w:pPr>
        <w:ind w:right="-177" w:firstLine="540"/>
        <w:jc w:val="center"/>
        <w:rPr>
          <w:b/>
        </w:rPr>
      </w:pPr>
    </w:p>
    <w:p w:rsidR="00DD034C" w:rsidRPr="007F1DDF" w:rsidRDefault="00DD034C" w:rsidP="00DA4F0D">
      <w:pPr>
        <w:ind w:right="-177" w:firstLine="540"/>
        <w:jc w:val="center"/>
        <w:rPr>
          <w:b/>
        </w:rPr>
      </w:pPr>
      <w:r w:rsidRPr="007F1DDF">
        <w:rPr>
          <w:b/>
        </w:rPr>
        <w:t>ÜÇÜNCÜ BÖLÜM</w:t>
      </w:r>
    </w:p>
    <w:p w:rsidR="00F806A3" w:rsidRPr="007F1DDF" w:rsidRDefault="00F806A3" w:rsidP="00DA4F0D">
      <w:pPr>
        <w:ind w:right="-177" w:firstLine="540"/>
        <w:jc w:val="center"/>
        <w:rPr>
          <w:b/>
        </w:rPr>
      </w:pPr>
      <w:r w:rsidRPr="007F1DDF">
        <w:rPr>
          <w:b/>
        </w:rPr>
        <w:t>İngilizce Hazırlık Programı</w:t>
      </w:r>
    </w:p>
    <w:p w:rsidR="007E72B2" w:rsidRPr="007F1DDF" w:rsidRDefault="00DD034C" w:rsidP="00DA4F0D">
      <w:pPr>
        <w:ind w:right="-177" w:firstLine="540"/>
        <w:jc w:val="center"/>
        <w:rPr>
          <w:b/>
        </w:rPr>
      </w:pPr>
      <w:r w:rsidRPr="007F1DDF">
        <w:rPr>
          <w:b/>
        </w:rPr>
        <w:t xml:space="preserve">Sınavlar </w:t>
      </w:r>
    </w:p>
    <w:p w:rsidR="00DD034C" w:rsidRPr="007F1DDF" w:rsidRDefault="00D15EFF" w:rsidP="00DA4F0D">
      <w:pPr>
        <w:ind w:right="-177" w:firstLine="720"/>
        <w:jc w:val="both"/>
        <w:rPr>
          <w:b/>
        </w:rPr>
      </w:pPr>
      <w:r w:rsidRPr="007F1DDF">
        <w:rPr>
          <w:b/>
        </w:rPr>
        <w:t xml:space="preserve">Ölçme ve Değerlendirme </w:t>
      </w:r>
      <w:r w:rsidR="00DD034C" w:rsidRPr="007F1DDF">
        <w:rPr>
          <w:b/>
        </w:rPr>
        <w:t>esasları</w:t>
      </w:r>
    </w:p>
    <w:p w:rsidR="00DD034C" w:rsidRPr="007F1DDF" w:rsidRDefault="00DD034C" w:rsidP="00DA4F0D">
      <w:pPr>
        <w:ind w:right="-177" w:firstLine="720"/>
        <w:jc w:val="both"/>
      </w:pPr>
      <w:r w:rsidRPr="007F1DDF">
        <w:rPr>
          <w:b/>
        </w:rPr>
        <w:t>MADDE 11-</w:t>
      </w:r>
      <w:r w:rsidR="00886637" w:rsidRPr="007F1DDF">
        <w:rPr>
          <w:b/>
        </w:rPr>
        <w:t xml:space="preserve"> </w:t>
      </w:r>
      <w:r w:rsidRPr="007F1DDF">
        <w:t>(1) İngilizce Hazırlık Programında; düzey belirleme, yeterlik, ara, kısa</w:t>
      </w:r>
      <w:r w:rsidR="007D0E6F" w:rsidRPr="007F1DDF">
        <w:t>, habersiz sınav</w:t>
      </w:r>
      <w:r w:rsidR="00D15EFF" w:rsidRPr="007F1DDF">
        <w:t>,</w:t>
      </w:r>
      <w:r w:rsidR="0079585F" w:rsidRPr="007F1DDF">
        <w:t xml:space="preserve"> </w:t>
      </w:r>
      <w:r w:rsidRPr="007F1DDF">
        <w:t xml:space="preserve">mazeret </w:t>
      </w:r>
      <w:r w:rsidR="00B8139A" w:rsidRPr="007F1DDF">
        <w:t>sınavı</w:t>
      </w:r>
      <w:r w:rsidR="007D0E6F" w:rsidRPr="007F1DDF">
        <w:t xml:space="preserve"> ile proje, sunu, </w:t>
      </w:r>
      <w:proofErr w:type="spellStart"/>
      <w:r w:rsidR="007D0E6F" w:rsidRPr="007F1DDF">
        <w:t>portfolyo</w:t>
      </w:r>
      <w:proofErr w:type="spellEnd"/>
      <w:r w:rsidR="007D0E6F" w:rsidRPr="007F1DDF">
        <w:t xml:space="preserve"> gibi performans değerlendirmeleri</w:t>
      </w:r>
      <w:r w:rsidR="00D15EFF" w:rsidRPr="007F1DDF">
        <w:t xml:space="preserve"> </w:t>
      </w:r>
      <w:r w:rsidR="00B80CEF" w:rsidRPr="007F1DDF">
        <w:t>yapılabilir.</w:t>
      </w:r>
      <w:r w:rsidRPr="007F1DDF">
        <w:t xml:space="preserve"> Bu </w:t>
      </w:r>
      <w:r w:rsidR="00D15EFF" w:rsidRPr="007F1DDF">
        <w:t>değerlendirmeler</w:t>
      </w:r>
      <w:r w:rsidRPr="007F1DDF">
        <w:t xml:space="preserve"> kâğıt üzerinde, bilgisayar ortamında veya sözlü olarak yapılabilir.  </w:t>
      </w:r>
    </w:p>
    <w:p w:rsidR="00DD034C" w:rsidRPr="007F1DDF" w:rsidRDefault="00DD034C" w:rsidP="00DA4F0D">
      <w:pPr>
        <w:ind w:right="-177"/>
        <w:jc w:val="both"/>
      </w:pPr>
      <w:r w:rsidRPr="007F1DDF">
        <w:tab/>
        <w:t xml:space="preserve">(2) Öğrenciler sınava ilan edilen gün, saat ve yerde girmek, kimlik belgeleri ile gerekli diğer belgeleri de yanlarında bulundurmak zorundadırlar. </w:t>
      </w:r>
    </w:p>
    <w:p w:rsidR="00DD034C" w:rsidRPr="007F1DDF" w:rsidRDefault="00B8139A" w:rsidP="00DA4F0D">
      <w:pPr>
        <w:ind w:right="-177" w:firstLine="708"/>
        <w:jc w:val="both"/>
      </w:pPr>
      <w:r w:rsidRPr="007F1DDF">
        <w:t xml:space="preserve">(3) Öğrencinin </w:t>
      </w:r>
      <w:r w:rsidR="00DD034C" w:rsidRPr="007F1DDF">
        <w:t xml:space="preserve">girmiş olduğu bir sınav için gerekli şartları taşımadığı tespit edilirse almış olduğu not, ilan edilmiş olsa da iptal edilir. </w:t>
      </w:r>
    </w:p>
    <w:p w:rsidR="003600D7" w:rsidRPr="007F1DDF" w:rsidRDefault="003600D7" w:rsidP="00DA4F0D">
      <w:pPr>
        <w:ind w:right="-177"/>
        <w:jc w:val="both"/>
        <w:rPr>
          <w:b/>
        </w:rPr>
      </w:pPr>
    </w:p>
    <w:p w:rsidR="00DD034C" w:rsidRPr="007F1DDF" w:rsidRDefault="002C6433" w:rsidP="00DA4F0D">
      <w:pPr>
        <w:ind w:right="-177" w:firstLine="708"/>
        <w:jc w:val="both"/>
        <w:rPr>
          <w:b/>
        </w:rPr>
      </w:pPr>
      <w:r w:rsidRPr="007F1DDF">
        <w:rPr>
          <w:b/>
        </w:rPr>
        <w:t xml:space="preserve"> </w:t>
      </w:r>
      <w:r w:rsidR="00DD034C" w:rsidRPr="007F1DDF">
        <w:rPr>
          <w:b/>
        </w:rPr>
        <w:t>İngilizce yeterlik, muafiyet ve düzey belirleme esasları</w:t>
      </w:r>
    </w:p>
    <w:p w:rsidR="00DD034C" w:rsidRPr="007F1DDF" w:rsidRDefault="000F03DC" w:rsidP="00DA4F0D">
      <w:pPr>
        <w:ind w:right="-177" w:firstLine="720"/>
        <w:jc w:val="both"/>
      </w:pPr>
      <w:r w:rsidRPr="007F1DDF" w:rsidDel="000F03DC">
        <w:rPr>
          <w:b/>
        </w:rPr>
        <w:t xml:space="preserve"> </w:t>
      </w:r>
      <w:r w:rsidR="00F90DFD" w:rsidRPr="007F1DDF">
        <w:rPr>
          <w:b/>
        </w:rPr>
        <w:t>MADDE 12</w:t>
      </w:r>
      <w:r w:rsidR="00F90DFD" w:rsidRPr="007F1DDF">
        <w:t xml:space="preserve">- </w:t>
      </w:r>
      <w:r w:rsidR="005D1678" w:rsidRPr="007F1DDF">
        <w:t xml:space="preserve">1) </w:t>
      </w:r>
      <w:r w:rsidR="00DD034C" w:rsidRPr="007F1DDF">
        <w:t xml:space="preserve">Yeni kayıtlı öğrenciler, </w:t>
      </w:r>
      <w:r w:rsidR="004045BB" w:rsidRPr="007F1DDF">
        <w:t>ak</w:t>
      </w:r>
      <w:r w:rsidR="00B80CEF" w:rsidRPr="007F1DDF">
        <w:t>ademik yılın başında yapılan</w:t>
      </w:r>
      <w:r w:rsidR="004045BB" w:rsidRPr="007F1DDF">
        <w:t xml:space="preserve"> </w:t>
      </w:r>
      <w:r w:rsidR="006731CD" w:rsidRPr="007F1DDF">
        <w:t xml:space="preserve">THKU </w:t>
      </w:r>
      <w:r w:rsidR="00BC323C" w:rsidRPr="007F1DDF">
        <w:t>Yeterlik Sınavı</w:t>
      </w:r>
      <w:r w:rsidR="00DD034C" w:rsidRPr="007F1DDF">
        <w:t xml:space="preserve">ndan önce </w:t>
      </w:r>
      <w:r w:rsidR="00603095" w:rsidRPr="007F1DDF">
        <w:t xml:space="preserve">İngilizce Düzey Belirleme Sınavına </w:t>
      </w:r>
      <w:r w:rsidR="00DD034C" w:rsidRPr="007F1DDF">
        <w:t>tabi</w:t>
      </w:r>
      <w:r w:rsidR="00696970" w:rsidRPr="007F1DDF">
        <w:t xml:space="preserve"> </w:t>
      </w:r>
      <w:r w:rsidR="002327C2" w:rsidRPr="007F1DDF">
        <w:t xml:space="preserve">tutulurlar. Bu testten </w:t>
      </w:r>
      <w:r w:rsidR="00696970" w:rsidRPr="007F1DDF">
        <w:t>70</w:t>
      </w:r>
      <w:r w:rsidR="00DD034C" w:rsidRPr="007F1DDF">
        <w:t xml:space="preserve"> ve üzerinde puan alan öğrenciler, </w:t>
      </w:r>
      <w:r w:rsidR="006731CD" w:rsidRPr="007F1DDF">
        <w:t xml:space="preserve">THKU </w:t>
      </w:r>
      <w:r w:rsidR="00BC323C" w:rsidRPr="007F1DDF">
        <w:t>Yeterlik Sınavı</w:t>
      </w:r>
      <w:r w:rsidR="00DD034C" w:rsidRPr="007F1DDF">
        <w:t>n</w:t>
      </w:r>
      <w:r w:rsidR="00357B11" w:rsidRPr="007F1DDF">
        <w:t>a</w:t>
      </w:r>
      <w:r w:rsidR="00DD034C" w:rsidRPr="007F1DDF">
        <w:t xml:space="preserve"> </w:t>
      </w:r>
      <w:r w:rsidR="006731CD" w:rsidRPr="007F1DDF">
        <w:t>alınırlar.</w:t>
      </w:r>
      <w:r w:rsidR="00DD034C" w:rsidRPr="007F1DDF">
        <w:t xml:space="preserve"> </w:t>
      </w:r>
    </w:p>
    <w:p w:rsidR="00DD034C" w:rsidRPr="007F1DDF" w:rsidRDefault="00DD034C" w:rsidP="00DA4F0D">
      <w:pPr>
        <w:ind w:right="-177" w:firstLine="708"/>
        <w:jc w:val="both"/>
      </w:pPr>
      <w:r w:rsidRPr="007F1DDF">
        <w:t>2) Yeni kayıtlı öğrencilerin İngilizce Hazırlık Programında hangi düzeye dâhil olacakları aşağıdaki gibi belirlenir:</w:t>
      </w:r>
    </w:p>
    <w:p w:rsidR="00E750B5" w:rsidRPr="007F1DDF" w:rsidRDefault="00DD034C" w:rsidP="00DA4F0D">
      <w:pPr>
        <w:numPr>
          <w:ilvl w:val="0"/>
          <w:numId w:val="11"/>
        </w:numPr>
        <w:tabs>
          <w:tab w:val="left" w:pos="1276"/>
        </w:tabs>
        <w:ind w:left="0" w:right="-177" w:firstLine="916"/>
        <w:jc w:val="both"/>
      </w:pPr>
      <w:r w:rsidRPr="007F1DDF">
        <w:t xml:space="preserve">Düzey Belirleme </w:t>
      </w:r>
      <w:r w:rsidR="00281EA9" w:rsidRPr="007F1DDF">
        <w:t xml:space="preserve">Sınavına </w:t>
      </w:r>
      <w:r w:rsidRPr="007F1DDF">
        <w:t xml:space="preserve">girmeyen veya girip </w:t>
      </w:r>
      <w:r w:rsidR="002327C2" w:rsidRPr="007F1DDF">
        <w:t>45</w:t>
      </w:r>
      <w:r w:rsidR="00696970" w:rsidRPr="007F1DDF">
        <w:t xml:space="preserve"> ve altı puan alanlar </w:t>
      </w:r>
      <w:r w:rsidR="00956DED" w:rsidRPr="007F1DDF">
        <w:t xml:space="preserve">Alpha </w:t>
      </w:r>
      <w:r w:rsidRPr="007F1DDF">
        <w:t xml:space="preserve">düzeyine yerleştirilir. </w:t>
      </w:r>
      <w:r w:rsidR="005F207E" w:rsidRPr="007F1DDF">
        <w:t xml:space="preserve">Yabancı Diller Bölüm Başkanlığı gerekli gördüğü hallerde </w:t>
      </w:r>
      <w:r w:rsidR="00CE772E" w:rsidRPr="007F1DDF">
        <w:t xml:space="preserve">Düzey </w:t>
      </w:r>
      <w:r w:rsidR="00956DED" w:rsidRPr="007F1DDF">
        <w:t xml:space="preserve">Belirleme </w:t>
      </w:r>
      <w:r w:rsidR="00F172F8" w:rsidRPr="007F1DDF">
        <w:t xml:space="preserve">Sınavına </w:t>
      </w:r>
      <w:r w:rsidR="00956DED" w:rsidRPr="007F1DDF">
        <w:t>girmeyen öğrenciler</w:t>
      </w:r>
      <w:r w:rsidR="006731CD" w:rsidRPr="007F1DDF">
        <w:t>in</w:t>
      </w:r>
      <w:r w:rsidR="00956DED" w:rsidRPr="007F1DDF">
        <w:t xml:space="preserve"> </w:t>
      </w:r>
      <w:r w:rsidR="005F207E" w:rsidRPr="007F1DDF">
        <w:t xml:space="preserve">düzeylerinde </w:t>
      </w:r>
      <w:r w:rsidR="00956DED" w:rsidRPr="007F1DDF">
        <w:t>eğitim öğretimin başladığı t</w:t>
      </w:r>
      <w:r w:rsidR="00CE772E" w:rsidRPr="007F1DDF">
        <w:t xml:space="preserve">arihten </w:t>
      </w:r>
      <w:r w:rsidR="006731CD" w:rsidRPr="007F1DDF">
        <w:t xml:space="preserve">itibaren </w:t>
      </w:r>
      <w:r w:rsidR="005F207E" w:rsidRPr="007F1DDF">
        <w:t>1 ay</w:t>
      </w:r>
      <w:r w:rsidR="00603095" w:rsidRPr="007F1DDF">
        <w:t xml:space="preserve"> </w:t>
      </w:r>
      <w:r w:rsidR="005F207E" w:rsidRPr="007F1DDF">
        <w:t xml:space="preserve">içerisinde </w:t>
      </w:r>
      <w:r w:rsidR="00956DED" w:rsidRPr="007F1DDF">
        <w:t xml:space="preserve">değişiklik </w:t>
      </w:r>
      <w:r w:rsidR="004045BB" w:rsidRPr="007F1DDF">
        <w:t>yapabilir</w:t>
      </w:r>
      <w:r w:rsidR="00956DED" w:rsidRPr="007F1DDF">
        <w:t xml:space="preserve">. </w:t>
      </w:r>
    </w:p>
    <w:p w:rsidR="00DD034C" w:rsidRPr="007F1DDF" w:rsidRDefault="00E750B5" w:rsidP="00DA4F0D">
      <w:pPr>
        <w:numPr>
          <w:ilvl w:val="0"/>
          <w:numId w:val="11"/>
        </w:numPr>
        <w:tabs>
          <w:tab w:val="left" w:pos="1276"/>
        </w:tabs>
        <w:ind w:left="0" w:right="-177" w:firstLine="916"/>
        <w:jc w:val="both"/>
      </w:pPr>
      <w:r w:rsidRPr="007F1DDF">
        <w:t xml:space="preserve">Düzey Belirleme </w:t>
      </w:r>
      <w:r w:rsidR="00F172F8" w:rsidRPr="007F1DDF">
        <w:t xml:space="preserve">Sınavına </w:t>
      </w:r>
      <w:r w:rsidRPr="007F1DDF">
        <w:t xml:space="preserve">girip </w:t>
      </w:r>
      <w:r w:rsidR="002327C2" w:rsidRPr="007F1DDF">
        <w:t>46</w:t>
      </w:r>
      <w:r w:rsidRPr="007F1DDF">
        <w:t xml:space="preserve">-69 arasında puan alan öğrenciler </w:t>
      </w:r>
      <w:r w:rsidR="0052609A" w:rsidRPr="007F1DDF">
        <w:t xml:space="preserve">Bravo düzeyine yerleştirilir. </w:t>
      </w:r>
    </w:p>
    <w:p w:rsidR="004E2E96" w:rsidRDefault="0052609A" w:rsidP="00DA4F0D">
      <w:pPr>
        <w:numPr>
          <w:ilvl w:val="0"/>
          <w:numId w:val="11"/>
        </w:numPr>
        <w:tabs>
          <w:tab w:val="left" w:pos="1276"/>
        </w:tabs>
        <w:ind w:left="0" w:right="-177" w:firstLine="916"/>
        <w:jc w:val="both"/>
      </w:pPr>
      <w:r w:rsidRPr="007F1DDF">
        <w:t xml:space="preserve">Düzey Belirleme </w:t>
      </w:r>
      <w:r w:rsidR="00F172F8" w:rsidRPr="007F1DDF">
        <w:t xml:space="preserve">Sınavında </w:t>
      </w:r>
      <w:r w:rsidRPr="007F1DDF">
        <w:t>e</w:t>
      </w:r>
      <w:r w:rsidR="00D014E7" w:rsidRPr="007F1DDF">
        <w:t>n</w:t>
      </w:r>
      <w:r w:rsidRPr="007F1DDF">
        <w:t xml:space="preserve"> 70 ve üzeri puan alıp </w:t>
      </w:r>
      <w:r w:rsidR="006731CD" w:rsidRPr="007F1DDF">
        <w:t xml:space="preserve">THKU </w:t>
      </w:r>
      <w:r w:rsidR="00BC323C" w:rsidRPr="007F1DDF">
        <w:t>Yeterlik Sınavı</w:t>
      </w:r>
      <w:r w:rsidRPr="007F1DDF">
        <w:t xml:space="preserve">ndan </w:t>
      </w:r>
      <w:r w:rsidR="002327C2" w:rsidRPr="007F1DDF">
        <w:t xml:space="preserve">toplam </w:t>
      </w:r>
      <w:r w:rsidR="00E750B5" w:rsidRPr="007F1DDF">
        <w:t>60 puan altında</w:t>
      </w:r>
      <w:r w:rsidRPr="007F1DDF">
        <w:t xml:space="preserve"> alan öğrenciler C</w:t>
      </w:r>
      <w:r w:rsidR="00E750B5" w:rsidRPr="007F1DDF">
        <w:t xml:space="preserve">harlie düzeyine yerleştirilir. </w:t>
      </w:r>
    </w:p>
    <w:p w:rsidR="00E750B5" w:rsidRPr="007F1DDF" w:rsidRDefault="00DA4F0D" w:rsidP="00DA4F0D">
      <w:pPr>
        <w:tabs>
          <w:tab w:val="left" w:pos="1276"/>
        </w:tabs>
        <w:ind w:right="-177" w:firstLine="916"/>
        <w:jc w:val="both"/>
      </w:pPr>
      <w:r>
        <w:t>(</w:t>
      </w:r>
      <w:r w:rsidR="00E764CE">
        <w:t xml:space="preserve">ç) </w:t>
      </w:r>
      <w:r w:rsidR="00E750B5" w:rsidRPr="007F1DDF">
        <w:t xml:space="preserve">Düzey Belirleme </w:t>
      </w:r>
      <w:r w:rsidR="00F172F8" w:rsidRPr="007F1DDF">
        <w:t xml:space="preserve">Sınavından </w:t>
      </w:r>
      <w:r w:rsidR="00E750B5" w:rsidRPr="007F1DDF">
        <w:t xml:space="preserve">70 ve üzeri puan alıp THKU Yeterlik Sınavından toplam 60 puan ve üzerinde puan alan öğrenciler kayıtlı oldukları lisans programlarında öğrenimlerine devam ederler. </w:t>
      </w:r>
    </w:p>
    <w:p w:rsidR="00DD034C" w:rsidRPr="007F1DDF" w:rsidRDefault="00DD034C" w:rsidP="00DA4F0D">
      <w:pPr>
        <w:ind w:right="-177" w:firstLine="708"/>
        <w:jc w:val="both"/>
      </w:pPr>
      <w:r w:rsidRPr="007F1DDF">
        <w:t xml:space="preserve">3) Eski </w:t>
      </w:r>
      <w:r w:rsidR="005448F5" w:rsidRPr="007F1DDF">
        <w:t>kayıtlı tekrar eden öğrenciler</w:t>
      </w:r>
      <w:r w:rsidRPr="007F1DDF">
        <w:t xml:space="preserve"> </w:t>
      </w:r>
      <w:r w:rsidR="00467513" w:rsidRPr="007F1DDF">
        <w:t xml:space="preserve">güz dönemi başında yapılan </w:t>
      </w:r>
      <w:r w:rsidR="006731CD" w:rsidRPr="007F1DDF">
        <w:t xml:space="preserve">THKU </w:t>
      </w:r>
      <w:r w:rsidR="00BC323C" w:rsidRPr="007F1DDF">
        <w:t>Yeterlik Sınavı</w:t>
      </w:r>
      <w:r w:rsidR="005448F5" w:rsidRPr="007F1DDF">
        <w:t xml:space="preserve">ndan toplam 60 puan ve üzerinde </w:t>
      </w:r>
      <w:r w:rsidR="002327C2" w:rsidRPr="007F1DDF">
        <w:t xml:space="preserve">puan </w:t>
      </w:r>
      <w:r w:rsidR="005448F5" w:rsidRPr="007F1DDF">
        <w:t>aldıklarında kayıtlı oldukları lisans programlarında öğrenimlerine devam ederler</w:t>
      </w:r>
      <w:r w:rsidR="002327C2" w:rsidRPr="007F1DDF">
        <w:t>.</w:t>
      </w:r>
    </w:p>
    <w:p w:rsidR="0052609A" w:rsidRPr="007F1DDF" w:rsidRDefault="005D4010" w:rsidP="00DA4F0D">
      <w:pPr>
        <w:ind w:right="-177" w:firstLine="708"/>
        <w:jc w:val="both"/>
      </w:pPr>
      <w:r w:rsidRPr="007F1DDF">
        <w:t>(</w:t>
      </w:r>
      <w:r w:rsidR="00DD034C" w:rsidRPr="007F1DDF">
        <w:t xml:space="preserve">a) </w:t>
      </w:r>
      <w:r w:rsidR="005448F5" w:rsidRPr="007F1DDF">
        <w:t>Eski kayıtlı tekrar eden öğrenciler</w:t>
      </w:r>
      <w:r w:rsidR="00DD00B6" w:rsidRPr="007F1DDF">
        <w:t>den</w:t>
      </w:r>
      <w:r w:rsidR="005448F5" w:rsidRPr="007F1DDF">
        <w:t xml:space="preserve"> </w:t>
      </w:r>
      <w:r w:rsidR="006731CD" w:rsidRPr="007F1DDF">
        <w:t xml:space="preserve">THKU </w:t>
      </w:r>
      <w:r w:rsidR="00BC323C" w:rsidRPr="007F1DDF">
        <w:t>Yeterlik Sınavı</w:t>
      </w:r>
      <w:r w:rsidR="0052609A" w:rsidRPr="007F1DDF">
        <w:t xml:space="preserve">ndan </w:t>
      </w:r>
      <w:r w:rsidR="00DD00B6" w:rsidRPr="007F1DDF">
        <w:t>60 puan altında alan öğrenciler</w:t>
      </w:r>
      <w:r w:rsidR="00AD6009" w:rsidRPr="0096067D">
        <w:t>,</w:t>
      </w:r>
      <w:r w:rsidR="00DD00B6" w:rsidRPr="0096067D">
        <w:t xml:space="preserve"> </w:t>
      </w:r>
      <w:r w:rsidR="00AD6009" w:rsidRPr="0096067D">
        <w:t xml:space="preserve">ilave bir yıl daha hazırlık sınıfına devam ederek ya da yabancı dil bilgisini kendi </w:t>
      </w:r>
      <w:proofErr w:type="gramStart"/>
      <w:r w:rsidR="00AD6009" w:rsidRPr="0096067D">
        <w:t>imkanlarıyla</w:t>
      </w:r>
      <w:proofErr w:type="gramEnd"/>
      <w:r w:rsidR="00AD6009" w:rsidRPr="0096067D">
        <w:t xml:space="preserve"> geliştirerek 6. Maddenin 3üncü fıkrasının (b) bendi kapsamına giren </w:t>
      </w:r>
      <w:r w:rsidR="00561C0A" w:rsidRPr="0096067D">
        <w:t xml:space="preserve">muafiyet için kabul </w:t>
      </w:r>
      <w:r w:rsidR="00AD6009" w:rsidRPr="0096067D">
        <w:t xml:space="preserve">edilen sınavlardan yeterli puana sahip olduğunu </w:t>
      </w:r>
      <w:r w:rsidR="00561C0A" w:rsidRPr="0096067D">
        <w:t xml:space="preserve">bir sonraki güz dönemi ders başlangıcına kadar </w:t>
      </w:r>
      <w:r w:rsidR="00AD6009" w:rsidRPr="0096067D">
        <w:t>belgelediği takdirde, girmeye hak kazandığı</w:t>
      </w:r>
      <w:r w:rsidR="0033474F" w:rsidRPr="0096067D">
        <w:t xml:space="preserve"> </w:t>
      </w:r>
      <w:r w:rsidR="00AD6009" w:rsidRPr="0096067D">
        <w:t>lisans öğretim programına devam edebilir.</w:t>
      </w:r>
    </w:p>
    <w:p w:rsidR="00DD00B6" w:rsidRPr="007F1DDF" w:rsidRDefault="00DA4F0D" w:rsidP="00DA4F0D">
      <w:pPr>
        <w:ind w:right="-177"/>
        <w:jc w:val="both"/>
      </w:pPr>
      <w:r>
        <w:tab/>
      </w:r>
      <w:r w:rsidR="00D014E7" w:rsidRPr="007F1DDF">
        <w:t>4</w:t>
      </w:r>
      <w:r w:rsidR="00DD034C" w:rsidRPr="007F1DDF">
        <w:t xml:space="preserve">) </w:t>
      </w:r>
      <w:r w:rsidR="00E540E9" w:rsidRPr="007F1DDF">
        <w:t xml:space="preserve">Devamsızlıktan </w:t>
      </w:r>
      <w:r w:rsidR="00DD034C" w:rsidRPr="007F1DDF">
        <w:t>başarısız olan</w:t>
      </w:r>
      <w:r w:rsidR="00B060E9" w:rsidRPr="007F1DDF">
        <w:t xml:space="preserve"> ve</w:t>
      </w:r>
      <w:r w:rsidR="00477525" w:rsidRPr="007F1DDF">
        <w:t>/veya</w:t>
      </w:r>
      <w:r w:rsidR="00B060E9" w:rsidRPr="007F1DDF">
        <w:t xml:space="preserve"> yıl içi başarı puanını tutturamayan öğrenciler </w:t>
      </w:r>
      <w:r w:rsidR="00477525" w:rsidRPr="007F1DDF">
        <w:t xml:space="preserve">ikinci yarıyıl sonunda </w:t>
      </w:r>
      <w:r w:rsidR="00B060E9" w:rsidRPr="007F1DDF">
        <w:t xml:space="preserve">yapılan </w:t>
      </w:r>
      <w:r w:rsidR="006731CD" w:rsidRPr="007F1DDF">
        <w:t xml:space="preserve">THKU </w:t>
      </w:r>
      <w:r w:rsidR="00BC323C" w:rsidRPr="007F1DDF">
        <w:t>Yeterlik Sınavı</w:t>
      </w:r>
      <w:r w:rsidR="00477525" w:rsidRPr="007F1DDF">
        <w:t>na giremez;</w:t>
      </w:r>
      <w:r w:rsidR="00B060E9" w:rsidRPr="007F1DDF">
        <w:t xml:space="preserve"> söz konusu öğrenciler </w:t>
      </w:r>
      <w:r w:rsidR="00477525" w:rsidRPr="007F1DDF">
        <w:t xml:space="preserve">yeni akademik </w:t>
      </w:r>
      <w:r w:rsidR="007F20ED" w:rsidRPr="007F1DDF">
        <w:t>yıl</w:t>
      </w:r>
      <w:r w:rsidR="00AA3F67" w:rsidRPr="007F1DDF">
        <w:t xml:space="preserve">ın </w:t>
      </w:r>
      <w:r w:rsidR="007F20ED" w:rsidRPr="007F1DDF">
        <w:t>başında</w:t>
      </w:r>
      <w:r w:rsidR="00477525" w:rsidRPr="007F1DDF">
        <w:t xml:space="preserve"> yapılan sınava girebilirler.</w:t>
      </w:r>
    </w:p>
    <w:p w:rsidR="00720EDA" w:rsidRPr="007F1DDF" w:rsidRDefault="00DA4F0D" w:rsidP="00DA4F0D">
      <w:pPr>
        <w:ind w:right="-177"/>
        <w:jc w:val="both"/>
      </w:pPr>
      <w:r>
        <w:tab/>
      </w:r>
      <w:r w:rsidR="0095266E" w:rsidRPr="007F1DDF">
        <w:t>5</w:t>
      </w:r>
      <w:r w:rsidR="001E1170" w:rsidRPr="007F1DDF">
        <w:t xml:space="preserve">) </w:t>
      </w:r>
      <w:r w:rsidR="006731CD" w:rsidRPr="007F1DDF">
        <w:t xml:space="preserve">THKU </w:t>
      </w:r>
      <w:r w:rsidR="00BC323C" w:rsidRPr="007F1DDF">
        <w:t>Yeterlik Sınavı</w:t>
      </w:r>
      <w:r w:rsidR="001E1170" w:rsidRPr="007F1DDF">
        <w:t xml:space="preserve"> muafiyet puanı </w:t>
      </w:r>
      <w:r w:rsidR="00C659ED" w:rsidRPr="007F1DDF">
        <w:t>60’tır</w:t>
      </w:r>
      <w:r w:rsidR="001E1170" w:rsidRPr="007F1DDF">
        <w:t xml:space="preserve">. </w:t>
      </w:r>
      <w:r w:rsidR="002C6433" w:rsidRPr="007F1DDF">
        <w:t>Bu puan hesaplanırken sınavın yazma bölümünün % 25’i; konuşma bölümünün % 25’i; okuma bölümünün %20’si; dinleme bölümünün %20’si; dilbilgisi (ve/</w:t>
      </w:r>
      <w:r w:rsidR="00AA3F67" w:rsidRPr="007F1DDF">
        <w:t>ve</w:t>
      </w:r>
      <w:r w:rsidR="002C6433" w:rsidRPr="007F1DDF">
        <w:t xml:space="preserve">ya kelime bilgisi) bölümünün ise %10’u alınarak toplam puan elde edilir. </w:t>
      </w:r>
    </w:p>
    <w:p w:rsidR="00477525" w:rsidRPr="007F1DDF" w:rsidRDefault="00720EDA" w:rsidP="00DA4F0D">
      <w:pPr>
        <w:ind w:right="-177" w:firstLine="708"/>
        <w:jc w:val="both"/>
      </w:pPr>
      <w:r w:rsidRPr="007F1DDF">
        <w:lastRenderedPageBreak/>
        <w:t>(6) K</w:t>
      </w:r>
      <w:r w:rsidR="001E1170" w:rsidRPr="007F1DDF">
        <w:t xml:space="preserve">ayıtlı bulundukları </w:t>
      </w:r>
      <w:r w:rsidR="005D1610" w:rsidRPr="007F1DDF">
        <w:t>düzeylerde program</w:t>
      </w:r>
      <w:r w:rsidR="008C5845" w:rsidRPr="007F1DDF">
        <w:t xml:space="preserve"> </w:t>
      </w:r>
      <w:r w:rsidR="008C2725" w:rsidRPr="007F1DDF">
        <w:t xml:space="preserve">başarı </w:t>
      </w:r>
      <w:r w:rsidR="00DB2E7B" w:rsidRPr="007F1DDF">
        <w:t xml:space="preserve">puanı </w:t>
      </w:r>
      <w:r w:rsidR="005D1610" w:rsidRPr="007F1DDF">
        <w:t xml:space="preserve">en az </w:t>
      </w:r>
      <w:r w:rsidR="0095266E" w:rsidRPr="007F1DDF">
        <w:t>75</w:t>
      </w:r>
      <w:r w:rsidR="005D1610" w:rsidRPr="007F1DDF">
        <w:t xml:space="preserve"> olan öğrencilere</w:t>
      </w:r>
      <w:r w:rsidR="008C2725" w:rsidRPr="007F1DDF">
        <w:t xml:space="preserve"> </w:t>
      </w:r>
      <w:r w:rsidR="00477525" w:rsidRPr="007F1DDF">
        <w:t xml:space="preserve">THKU Yeterlik Sınavı </w:t>
      </w:r>
      <w:r w:rsidR="0095266E" w:rsidRPr="007F1DDF">
        <w:t xml:space="preserve">puanına eklenmek üzere </w:t>
      </w:r>
      <w:r w:rsidR="00DF4EB6" w:rsidRPr="007F1DDF">
        <w:t>2</w:t>
      </w:r>
      <w:r w:rsidR="0095266E" w:rsidRPr="007F1DDF">
        <w:t xml:space="preserve"> </w:t>
      </w:r>
      <w:r w:rsidR="008C2725" w:rsidRPr="007F1DDF">
        <w:t xml:space="preserve">ek puan </w:t>
      </w:r>
      <w:r w:rsidR="00B31386" w:rsidRPr="007F1DDF">
        <w:t>verilir</w:t>
      </w:r>
      <w:r w:rsidR="0095266E" w:rsidRPr="007F1DDF">
        <w:t>.</w:t>
      </w:r>
      <w:r w:rsidR="00B31386" w:rsidRPr="007F1DDF">
        <w:t xml:space="preserve"> </w:t>
      </w:r>
    </w:p>
    <w:p w:rsidR="008907F4" w:rsidRPr="007F1DDF" w:rsidRDefault="008907F4" w:rsidP="00DA4F0D">
      <w:pPr>
        <w:ind w:right="-177" w:firstLine="708"/>
        <w:jc w:val="both"/>
      </w:pPr>
    </w:p>
    <w:p w:rsidR="00DD034C" w:rsidRPr="007F1DDF" w:rsidRDefault="003600D7" w:rsidP="00DA4F0D">
      <w:pPr>
        <w:ind w:right="-177"/>
        <w:jc w:val="both"/>
        <w:rPr>
          <w:b/>
        </w:rPr>
      </w:pPr>
      <w:r w:rsidRPr="007F1DDF">
        <w:rPr>
          <w:b/>
        </w:rPr>
        <w:tab/>
      </w:r>
      <w:r w:rsidR="00DD034C" w:rsidRPr="007F1DDF">
        <w:rPr>
          <w:b/>
        </w:rPr>
        <w:t>Program içi</w:t>
      </w:r>
      <w:r w:rsidR="00DD034C" w:rsidRPr="007F1DDF">
        <w:t xml:space="preserve"> </w:t>
      </w:r>
      <w:r w:rsidR="00DD034C" w:rsidRPr="007F1DDF">
        <w:rPr>
          <w:b/>
        </w:rPr>
        <w:t>değerlendirme</w:t>
      </w:r>
      <w:r w:rsidR="00765B97" w:rsidRPr="007F1DDF">
        <w:rPr>
          <w:b/>
        </w:rPr>
        <w:t xml:space="preserve"> puanı </w:t>
      </w:r>
    </w:p>
    <w:p w:rsidR="003438DD" w:rsidRPr="007F1DDF" w:rsidRDefault="00DD034C" w:rsidP="00DA4F0D">
      <w:pPr>
        <w:ind w:right="-177"/>
        <w:jc w:val="both"/>
      </w:pPr>
      <w:r w:rsidRPr="007F1DDF">
        <w:rPr>
          <w:b/>
        </w:rPr>
        <w:t xml:space="preserve">      </w:t>
      </w:r>
      <w:r w:rsidRPr="007F1DDF">
        <w:rPr>
          <w:b/>
        </w:rPr>
        <w:tab/>
        <w:t>MADDE 13-</w:t>
      </w:r>
      <w:r w:rsidR="00886637" w:rsidRPr="007F1DDF">
        <w:rPr>
          <w:b/>
        </w:rPr>
        <w:t xml:space="preserve"> </w:t>
      </w:r>
      <w:r w:rsidRPr="007F1DDF">
        <w:t xml:space="preserve">(1) Öğrencilerin program içi başarı değerlendirmeleri, </w:t>
      </w:r>
      <w:r w:rsidR="003438DD" w:rsidRPr="007F1DDF">
        <w:t>ara, kısa, habersiz sınav,</w:t>
      </w:r>
      <w:r w:rsidR="007F20ED" w:rsidRPr="007F1DDF">
        <w:t xml:space="preserve"> </w:t>
      </w:r>
      <w:r w:rsidR="003438DD" w:rsidRPr="007F1DDF">
        <w:t xml:space="preserve">mazeret sınavı ile proje, sunu, </w:t>
      </w:r>
      <w:proofErr w:type="spellStart"/>
      <w:r w:rsidR="003438DD" w:rsidRPr="007F1DDF">
        <w:t>portfolyo</w:t>
      </w:r>
      <w:proofErr w:type="spellEnd"/>
      <w:r w:rsidR="003438DD" w:rsidRPr="007F1DDF">
        <w:t xml:space="preserve"> gibi performan</w:t>
      </w:r>
      <w:r w:rsidR="007F20ED" w:rsidRPr="007F1DDF">
        <w:t>s değerlendirmeleri ile yapılabilir.</w:t>
      </w:r>
    </w:p>
    <w:p w:rsidR="004A3EC2" w:rsidRPr="007F1DDF" w:rsidRDefault="00DD034C" w:rsidP="00DA4F0D">
      <w:pPr>
        <w:ind w:right="-177" w:firstLine="540"/>
        <w:jc w:val="both"/>
      </w:pPr>
      <w:r w:rsidRPr="007F1DDF">
        <w:tab/>
        <w:t>(</w:t>
      </w:r>
      <w:r w:rsidR="00D32473" w:rsidRPr="007F1DDF">
        <w:t>2</w:t>
      </w:r>
      <w:r w:rsidRPr="007F1DDF">
        <w:t>) Program içi değerlendirme puanlarının hesap</w:t>
      </w:r>
      <w:r w:rsidR="00CE772E" w:rsidRPr="007F1DDF">
        <w:t xml:space="preserve">lanmasında Yabancı Diller Bölümü Başkanlığının belirlediği esaslar uygulanır. </w:t>
      </w:r>
      <w:r w:rsidR="003600D7" w:rsidRPr="007F1DDF">
        <w:tab/>
      </w:r>
    </w:p>
    <w:p w:rsidR="00DD034C" w:rsidRPr="007F1DDF" w:rsidRDefault="00765B97" w:rsidP="00DA4F0D">
      <w:pPr>
        <w:ind w:right="-177"/>
        <w:jc w:val="both"/>
        <w:rPr>
          <w:b/>
        </w:rPr>
      </w:pPr>
      <w:r w:rsidRPr="007F1DDF">
        <w:rPr>
          <w:b/>
        </w:rPr>
        <w:t xml:space="preserve">            </w:t>
      </w:r>
      <w:r w:rsidR="00DD034C" w:rsidRPr="007F1DDF">
        <w:rPr>
          <w:b/>
        </w:rPr>
        <w:t xml:space="preserve">İngilizce hazırlık programı </w:t>
      </w:r>
      <w:r w:rsidR="003438DD" w:rsidRPr="007F1DDF">
        <w:rPr>
          <w:b/>
        </w:rPr>
        <w:t>başarı puanı</w:t>
      </w:r>
      <w:r w:rsidR="00537EA5" w:rsidRPr="007F1DDF">
        <w:rPr>
          <w:b/>
        </w:rPr>
        <w:t xml:space="preserve">  </w:t>
      </w:r>
    </w:p>
    <w:p w:rsidR="00DE42BD" w:rsidRPr="007F1DDF" w:rsidRDefault="00537EA5" w:rsidP="00DA4F0D">
      <w:pPr>
        <w:ind w:right="-177"/>
        <w:jc w:val="both"/>
      </w:pPr>
      <w:r w:rsidRPr="007F1DDF">
        <w:t xml:space="preserve">  </w:t>
      </w:r>
      <w:r w:rsidRPr="007F1DDF">
        <w:tab/>
      </w:r>
      <w:r w:rsidR="00DD034C" w:rsidRPr="007F1DDF">
        <w:rPr>
          <w:b/>
        </w:rPr>
        <w:t>MADDE 14-</w:t>
      </w:r>
      <w:r w:rsidR="00886637" w:rsidRPr="007F1DDF">
        <w:rPr>
          <w:b/>
        </w:rPr>
        <w:t xml:space="preserve"> </w:t>
      </w:r>
      <w:r w:rsidR="00DD034C" w:rsidRPr="007F1DDF">
        <w:t xml:space="preserve">(1) </w:t>
      </w:r>
      <w:r w:rsidRPr="007F1DDF">
        <w:t xml:space="preserve"> </w:t>
      </w:r>
      <w:r w:rsidR="00DD00B6" w:rsidRPr="007F1DDF">
        <w:t xml:space="preserve">Alpha, </w:t>
      </w:r>
      <w:r w:rsidR="00FB75B7" w:rsidRPr="007F1DDF">
        <w:t>Bravo</w:t>
      </w:r>
      <w:r w:rsidR="00DD00B6" w:rsidRPr="007F1DDF">
        <w:t xml:space="preserve">, Charlie </w:t>
      </w:r>
      <w:r w:rsidR="00DD034C" w:rsidRPr="007F1DDF">
        <w:t xml:space="preserve">düzeylerinde </w:t>
      </w:r>
      <w:r w:rsidR="00AC20DA" w:rsidRPr="007F1DDF">
        <w:t xml:space="preserve">program </w:t>
      </w:r>
      <w:r w:rsidR="00E97E18" w:rsidRPr="007F1DDF">
        <w:t xml:space="preserve">başarı </w:t>
      </w:r>
      <w:r w:rsidR="00DD034C" w:rsidRPr="007F1DDF">
        <w:t>puanı, ilk yarıyıl program içi değerlendirme puanının yüzd</w:t>
      </w:r>
      <w:r w:rsidR="00FB75B7" w:rsidRPr="007F1DDF">
        <w:t xml:space="preserve">e </w:t>
      </w:r>
      <w:r w:rsidR="0098288E" w:rsidRPr="007F1DDF">
        <w:t>40</w:t>
      </w:r>
      <w:r w:rsidR="00E97E18" w:rsidRPr="007F1DDF">
        <w:t>’</w:t>
      </w:r>
      <w:r w:rsidR="0098288E" w:rsidRPr="007F1DDF">
        <w:t>ı</w:t>
      </w:r>
      <w:r w:rsidR="00DD034C" w:rsidRPr="007F1DDF">
        <w:t xml:space="preserve">, ikinci yarıyıl birinci </w:t>
      </w:r>
      <w:proofErr w:type="gramStart"/>
      <w:r w:rsidR="00DD034C" w:rsidRPr="007F1DDF">
        <w:t>periyot</w:t>
      </w:r>
      <w:proofErr w:type="gramEnd"/>
      <w:r w:rsidR="00DD034C" w:rsidRPr="007F1DDF">
        <w:t xml:space="preserve"> program içi değerlendirme puanının yüzd</w:t>
      </w:r>
      <w:r w:rsidRPr="007F1DDF">
        <w:t xml:space="preserve">e </w:t>
      </w:r>
      <w:r w:rsidR="00F54E18" w:rsidRPr="007F1DDF">
        <w:t>30’u</w:t>
      </w:r>
      <w:r w:rsidR="00E97E18" w:rsidRPr="007F1DDF">
        <w:t xml:space="preserve"> </w:t>
      </w:r>
      <w:r w:rsidR="00DD034C" w:rsidRPr="007F1DDF">
        <w:t>ve ikinci yarıyıl ikinci periyot program içi değerlendirme puanının yüzd</w:t>
      </w:r>
      <w:r w:rsidR="00F54E18" w:rsidRPr="007F1DDF">
        <w:t>e 30</w:t>
      </w:r>
      <w:r w:rsidRPr="007F1DDF">
        <w:t>’</w:t>
      </w:r>
      <w:r w:rsidR="00F54E18" w:rsidRPr="007F1DDF">
        <w:t>unun</w:t>
      </w:r>
      <w:r w:rsidR="00DD034C" w:rsidRPr="007F1DDF">
        <w:t xml:space="preserve"> toplamından oluşur. Öğrencilerin </w:t>
      </w:r>
      <w:r w:rsidR="006731CD" w:rsidRPr="007F1DDF">
        <w:t xml:space="preserve">THKU </w:t>
      </w:r>
      <w:r w:rsidR="00BC323C" w:rsidRPr="007F1DDF">
        <w:t>Yeterlik Sınavı</w:t>
      </w:r>
      <w:r w:rsidR="00DD034C" w:rsidRPr="007F1DDF">
        <w:t>na girm</w:t>
      </w:r>
      <w:r w:rsidR="00CE772E" w:rsidRPr="007F1DDF">
        <w:t xml:space="preserve">e hakkı elde edebilmeleri için yılsonu program </w:t>
      </w:r>
      <w:r w:rsidR="00DD034C" w:rsidRPr="007F1DDF">
        <w:t xml:space="preserve">başarı puanlarının 100 </w:t>
      </w:r>
      <w:r w:rsidR="00DD034C" w:rsidRPr="0096067D">
        <w:t xml:space="preserve">üzerinden </w:t>
      </w:r>
      <w:r w:rsidR="0096067D" w:rsidRPr="0096067D">
        <w:t>en az</w:t>
      </w:r>
      <w:r w:rsidR="003A6D5D" w:rsidRPr="0096067D">
        <w:t xml:space="preserve"> </w:t>
      </w:r>
      <w:r w:rsidR="00C901F8" w:rsidRPr="0096067D">
        <w:t xml:space="preserve">60 </w:t>
      </w:r>
      <w:r w:rsidR="00DD034C" w:rsidRPr="0096067D">
        <w:t>olması</w:t>
      </w:r>
      <w:r w:rsidR="00DD034C" w:rsidRPr="007F1DDF">
        <w:t xml:space="preserve"> gerekir.   </w:t>
      </w:r>
    </w:p>
    <w:p w:rsidR="00DD034C" w:rsidRPr="007F1DDF" w:rsidRDefault="00DD034C" w:rsidP="00DA4F0D">
      <w:pPr>
        <w:ind w:right="-177" w:firstLine="708"/>
        <w:jc w:val="both"/>
        <w:rPr>
          <w:b/>
        </w:rPr>
      </w:pPr>
      <w:r w:rsidRPr="007F1DDF">
        <w:rPr>
          <w:b/>
        </w:rPr>
        <w:t xml:space="preserve">Mazeret sınavı </w:t>
      </w:r>
    </w:p>
    <w:p w:rsidR="00F65999" w:rsidRPr="007F1DDF" w:rsidRDefault="00DD034C" w:rsidP="00DA4F0D">
      <w:pPr>
        <w:ind w:right="-177"/>
        <w:jc w:val="both"/>
      </w:pPr>
      <w:r w:rsidRPr="007F1DDF">
        <w:rPr>
          <w:b/>
        </w:rPr>
        <w:t xml:space="preserve">      </w:t>
      </w:r>
      <w:r w:rsidRPr="007F1DDF">
        <w:rPr>
          <w:b/>
        </w:rPr>
        <w:tab/>
        <w:t>MADDE 15</w:t>
      </w:r>
      <w:r w:rsidRPr="007F1DDF">
        <w:t>-</w:t>
      </w:r>
      <w:r w:rsidR="00886637" w:rsidRPr="007F1DDF">
        <w:t xml:space="preserve"> </w:t>
      </w:r>
      <w:r w:rsidRPr="007F1DDF">
        <w:t xml:space="preserve">(1) Mazeret sınavı, </w:t>
      </w:r>
      <w:r w:rsidR="003B2AE7" w:rsidRPr="007F1DDF">
        <w:t xml:space="preserve">bu yönergenin 10 </w:t>
      </w:r>
      <w:r w:rsidR="00662A09" w:rsidRPr="007F1DDF">
        <w:t xml:space="preserve">uncu maddesinin ikinci </w:t>
      </w:r>
      <w:r w:rsidR="005D1E6A" w:rsidRPr="007F1DDF">
        <w:t>fıkrasında belirtilen</w:t>
      </w:r>
      <w:r w:rsidR="00662A09" w:rsidRPr="007F1DDF">
        <w:t xml:space="preserve"> durumlarda ara</w:t>
      </w:r>
      <w:r w:rsidR="00E04630" w:rsidRPr="007F1DDF">
        <w:t>,</w:t>
      </w:r>
      <w:r w:rsidR="00662A09" w:rsidRPr="007F1DDF">
        <w:t xml:space="preserve"> kısa</w:t>
      </w:r>
      <w:r w:rsidR="00474256" w:rsidRPr="007F1DDF">
        <w:t xml:space="preserve"> ve habersiz</w:t>
      </w:r>
      <w:r w:rsidR="00662A09" w:rsidRPr="007F1DDF">
        <w:t xml:space="preserve"> sınav</w:t>
      </w:r>
      <w:r w:rsidR="00F14D83" w:rsidRPr="007F1DDF">
        <w:t>lar</w:t>
      </w:r>
      <w:r w:rsidR="00662A09" w:rsidRPr="007F1DDF">
        <w:t xml:space="preserve"> yerine yapılır. </w:t>
      </w:r>
      <w:r w:rsidR="006731CD" w:rsidRPr="007F1DDF">
        <w:t xml:space="preserve">THKU </w:t>
      </w:r>
      <w:r w:rsidR="00BC323C" w:rsidRPr="007F1DDF">
        <w:t>Yeterlik Sınavı</w:t>
      </w:r>
      <w:r w:rsidRPr="007F1DDF">
        <w:t xml:space="preserve"> için mazeret sınavı yapılmaz.</w:t>
      </w:r>
      <w:r w:rsidR="00662A09" w:rsidRPr="007F1DDF">
        <w:t xml:space="preserve"> </w:t>
      </w:r>
    </w:p>
    <w:p w:rsidR="00DD034C" w:rsidRPr="007F1DDF" w:rsidRDefault="002338F0" w:rsidP="00DA4F0D">
      <w:pPr>
        <w:ind w:right="-177" w:firstLine="708"/>
        <w:jc w:val="both"/>
      </w:pPr>
      <w:r w:rsidRPr="007F1DDF">
        <w:t xml:space="preserve"> </w:t>
      </w:r>
      <w:r w:rsidR="00F65999" w:rsidRPr="007F1DDF">
        <w:t>(2) Söz konusu mazeret sınavları Yabancı Dill</w:t>
      </w:r>
      <w:r w:rsidR="003B2AE7" w:rsidRPr="007F1DDF">
        <w:t>er Bölümü Başkanlığı</w:t>
      </w:r>
      <w:r w:rsidR="00442FCA" w:rsidRPr="007F1DDF">
        <w:t xml:space="preserve">nın </w:t>
      </w:r>
      <w:r w:rsidR="00F65999" w:rsidRPr="007F1DDF">
        <w:t>onayı ile Yabancı Diller Bölümü tarafından belirlenen tarih ve şekilde uygulanır.</w:t>
      </w:r>
    </w:p>
    <w:p w:rsidR="003A0422" w:rsidRPr="007F1DDF" w:rsidRDefault="00962D00" w:rsidP="00DA4F0D">
      <w:pPr>
        <w:ind w:right="-177" w:firstLine="708"/>
        <w:jc w:val="both"/>
      </w:pPr>
      <w:r w:rsidRPr="007F1DDF">
        <w:t xml:space="preserve"> </w:t>
      </w:r>
      <w:r w:rsidR="003A0422" w:rsidRPr="007F1DDF">
        <w:t xml:space="preserve">(3) </w:t>
      </w:r>
      <w:r w:rsidR="0026369C" w:rsidRPr="007F1DDF">
        <w:t>Öğrencinin girmemiş olduğu sınav ya da sınavlar için yapılan mazeret sınavı</w:t>
      </w:r>
      <w:r w:rsidR="002C68FF" w:rsidRPr="007F1DDF">
        <w:t xml:space="preserve">nda her bir bölüm (dinleme, okuma, konuşma, yazma) için alınan puan öğrencinin girmediği o türdeki tüm sınavlar için tek bir puan olarak hesaplanır. </w:t>
      </w:r>
      <w:r w:rsidR="0026369C" w:rsidRPr="007F1DDF">
        <w:t xml:space="preserve"> </w:t>
      </w:r>
    </w:p>
    <w:p w:rsidR="00DD034C" w:rsidRPr="007F1DDF" w:rsidRDefault="00F65999" w:rsidP="00DA4F0D">
      <w:pPr>
        <w:ind w:right="-177"/>
        <w:jc w:val="both"/>
      </w:pPr>
      <w:r w:rsidRPr="007F1DDF">
        <w:t xml:space="preserve">            </w:t>
      </w:r>
      <w:r w:rsidR="003A0422" w:rsidRPr="007F1DDF">
        <w:t>(4</w:t>
      </w:r>
      <w:r w:rsidR="00DD034C" w:rsidRPr="007F1DDF">
        <w:t xml:space="preserve">) </w:t>
      </w:r>
      <w:r w:rsidR="00F64CA0" w:rsidRPr="007F1DDF">
        <w:t xml:space="preserve"> </w:t>
      </w:r>
      <w:r w:rsidR="00DD034C" w:rsidRPr="007F1DDF">
        <w:t xml:space="preserve">Mazeret sınavı için tekrar bir mazeret sınav hakkı verilmez.  </w:t>
      </w:r>
    </w:p>
    <w:p w:rsidR="00974F43" w:rsidRPr="007F1DDF" w:rsidRDefault="004830B9" w:rsidP="00DA4F0D">
      <w:pPr>
        <w:ind w:right="-177"/>
        <w:jc w:val="both"/>
      </w:pPr>
      <w:r w:rsidRPr="007F1DDF">
        <w:t xml:space="preserve">    </w:t>
      </w:r>
      <w:r w:rsidRPr="007F1DDF">
        <w:tab/>
      </w:r>
      <w:r w:rsidR="003A0422" w:rsidRPr="007F1DDF">
        <w:t>(5</w:t>
      </w:r>
      <w:r w:rsidR="00F65999" w:rsidRPr="007F1DDF">
        <w:t xml:space="preserve">) </w:t>
      </w:r>
      <w:r w:rsidR="00DD034C" w:rsidRPr="007F1DDF">
        <w:t>Mazeretlerinden dolayı ara</w:t>
      </w:r>
      <w:r w:rsidR="00E04630" w:rsidRPr="007F1DDF">
        <w:t>, kısa ve habersiz</w:t>
      </w:r>
      <w:r w:rsidR="00DD034C" w:rsidRPr="007F1DDF">
        <w:t xml:space="preserve"> </w:t>
      </w:r>
      <w:r w:rsidR="00F64CA0" w:rsidRPr="007F1DDF">
        <w:t xml:space="preserve">sınava </w:t>
      </w:r>
      <w:r w:rsidR="00DD034C" w:rsidRPr="007F1DDF">
        <w:t>giremeyen öğrenciler, mazeret sebebinin ortadan kalkmasını izle</w:t>
      </w:r>
      <w:r w:rsidR="003A0422" w:rsidRPr="007F1DDF">
        <w:t xml:space="preserve">yen 5 iş günü </w:t>
      </w:r>
      <w:r w:rsidR="00DD034C" w:rsidRPr="007F1DDF">
        <w:t>içinde mazeretle</w:t>
      </w:r>
      <w:r w:rsidR="003E7437" w:rsidRPr="007F1DDF">
        <w:t>rini yazılı olarak Yabancı Diller Bölüm Başkanlığı’na</w:t>
      </w:r>
      <w:r w:rsidR="00DD034C" w:rsidRPr="007F1DDF">
        <w:t xml:space="preserve"> bildirirler. Mazeretleri, </w:t>
      </w:r>
      <w:r w:rsidR="00442FCA" w:rsidRPr="007F1DDF">
        <w:t xml:space="preserve">Yabancı Diller Bölüm Başkanlığı </w:t>
      </w:r>
      <w:r w:rsidR="00F64CA0" w:rsidRPr="007F1DDF">
        <w:t xml:space="preserve">tarafından </w:t>
      </w:r>
      <w:r w:rsidR="00DD034C" w:rsidRPr="007F1DDF">
        <w:t>geçerli bulunan öğ</w:t>
      </w:r>
      <w:r w:rsidR="0055471A" w:rsidRPr="007F1DDF">
        <w:t>renciler mazeret sınavına girebilirler.</w:t>
      </w:r>
    </w:p>
    <w:p w:rsidR="00DD034C" w:rsidRPr="007F1DDF" w:rsidRDefault="00DD034C" w:rsidP="00DA4F0D">
      <w:pPr>
        <w:ind w:right="-177"/>
        <w:jc w:val="both"/>
        <w:rPr>
          <w:b/>
        </w:rPr>
      </w:pPr>
      <w:r w:rsidRPr="007F1DDF">
        <w:rPr>
          <w:b/>
        </w:rPr>
        <w:t xml:space="preserve">      </w:t>
      </w:r>
      <w:r w:rsidR="003600D7" w:rsidRPr="007F1DDF">
        <w:rPr>
          <w:b/>
        </w:rPr>
        <w:tab/>
      </w:r>
      <w:r w:rsidRPr="007F1DDF">
        <w:rPr>
          <w:b/>
        </w:rPr>
        <w:t>Muafiyet</w:t>
      </w:r>
    </w:p>
    <w:p w:rsidR="00DD034C" w:rsidRPr="007F1DDF" w:rsidRDefault="00DD034C" w:rsidP="00DA4F0D">
      <w:pPr>
        <w:ind w:right="-177"/>
        <w:jc w:val="both"/>
      </w:pPr>
      <w:r w:rsidRPr="007F1DDF">
        <w:rPr>
          <w:b/>
        </w:rPr>
        <w:t xml:space="preserve">      </w:t>
      </w:r>
      <w:r w:rsidRPr="007F1DDF">
        <w:rPr>
          <w:b/>
        </w:rPr>
        <w:tab/>
        <w:t>MADDE 16-</w:t>
      </w:r>
      <w:r w:rsidR="00886637" w:rsidRPr="007F1DDF">
        <w:rPr>
          <w:b/>
        </w:rPr>
        <w:t xml:space="preserve"> </w:t>
      </w:r>
      <w:r w:rsidRPr="007F1DDF">
        <w:t>(1) İngilizce Hazırlık Programından</w:t>
      </w:r>
      <w:r w:rsidRPr="007F1DDF">
        <w:rPr>
          <w:b/>
        </w:rPr>
        <w:t xml:space="preserve"> </w:t>
      </w:r>
      <w:r w:rsidRPr="007F1DDF">
        <w:t xml:space="preserve">muaf olabilmek için </w:t>
      </w:r>
      <w:r w:rsidR="006731CD" w:rsidRPr="007F1DDF">
        <w:t xml:space="preserve">THKU </w:t>
      </w:r>
      <w:r w:rsidR="00BC323C" w:rsidRPr="007F1DDF">
        <w:t>Yeterlik Sınavı</w:t>
      </w:r>
      <w:r w:rsidR="0055471A" w:rsidRPr="007F1DDF">
        <w:t>nda</w:t>
      </w:r>
      <w:r w:rsidRPr="007F1DDF">
        <w:t xml:space="preserve"> başarılı olunması veya bu yönergenin 6 </w:t>
      </w:r>
      <w:proofErr w:type="spellStart"/>
      <w:r w:rsidRPr="007F1DDF">
        <w:t>ncı</w:t>
      </w:r>
      <w:proofErr w:type="spellEnd"/>
      <w:r w:rsidRPr="007F1DDF">
        <w:t xml:space="preserve"> maddesinin 3 üncü fıkrasını</w:t>
      </w:r>
      <w:r w:rsidR="00B30FB6" w:rsidRPr="007F1DDF">
        <w:t xml:space="preserve">n (b) bendinde yer alan Tablo 1’de </w:t>
      </w:r>
      <w:r w:rsidRPr="007F1DDF">
        <w:t>belirtilen uluslararası yabancı dil sınavlarından eşdeğer pu</w:t>
      </w:r>
      <w:r w:rsidR="0055471A" w:rsidRPr="007F1DDF">
        <w:t xml:space="preserve">anı gösteren bir belgenin ibraz edilmesi gerekmektedir. </w:t>
      </w:r>
      <w:r w:rsidRPr="007F1DDF">
        <w:t xml:space="preserve"> </w:t>
      </w:r>
    </w:p>
    <w:p w:rsidR="00DD034C" w:rsidRPr="007F1DDF" w:rsidRDefault="00DD034C" w:rsidP="00DA4F0D">
      <w:pPr>
        <w:ind w:right="-177" w:firstLine="720"/>
        <w:jc w:val="both"/>
      </w:pPr>
      <w:r w:rsidRPr="007F1DDF">
        <w:t>(2) Bu yönergede yer almayan ulusal ve u</w:t>
      </w:r>
      <w:r w:rsidR="001D1084" w:rsidRPr="007F1DDF">
        <w:t xml:space="preserve">luslararası sınavların, Tablo 1’de </w:t>
      </w:r>
      <w:r w:rsidRPr="007F1DDF">
        <w:t>yer alan sınavlara eşdeğerliği, Yabancı Dil</w:t>
      </w:r>
      <w:r w:rsidR="001D1084" w:rsidRPr="007F1DDF">
        <w:t>ler</w:t>
      </w:r>
      <w:r w:rsidRPr="007F1DDF">
        <w:t xml:space="preserve"> Bölüm Başkanlığının önerisi üzerine Senato tarafından karara bağlanır.  </w:t>
      </w:r>
    </w:p>
    <w:p w:rsidR="00232F9E" w:rsidRPr="0096067D" w:rsidRDefault="00DD034C" w:rsidP="00DA4F0D">
      <w:pPr>
        <w:ind w:right="-177"/>
      </w:pPr>
      <w:r w:rsidRPr="007F1DDF">
        <w:tab/>
        <w:t>(3) Bu maddenin ikinci fıkrası kapsamında eşdeğerliği talep edilen belgeler</w:t>
      </w:r>
      <w:r w:rsidR="0065475E" w:rsidRPr="007F1DDF">
        <w:t>in</w:t>
      </w:r>
      <w:r w:rsidRPr="007F1DDF">
        <w:t xml:space="preserve"> </w:t>
      </w:r>
      <w:r w:rsidR="0065475E" w:rsidRPr="007F1DDF">
        <w:t xml:space="preserve">akademik </w:t>
      </w:r>
      <w:proofErr w:type="gramStart"/>
      <w:r w:rsidR="0065475E" w:rsidRPr="007F1DDF">
        <w:t>yıl başında</w:t>
      </w:r>
      <w:proofErr w:type="gramEnd"/>
      <w:r w:rsidR="0065475E" w:rsidRPr="007F1DDF">
        <w:t xml:space="preserve"> en geç </w:t>
      </w:r>
      <w:r w:rsidR="007F1DDF" w:rsidRPr="0096067D">
        <w:t xml:space="preserve">güz dönemi derslerin başlama tarihine kadar </w:t>
      </w:r>
      <w:r w:rsidRPr="0096067D">
        <w:t>Yabancı Dil</w:t>
      </w:r>
      <w:r w:rsidR="004030B2" w:rsidRPr="0096067D">
        <w:t>ler</w:t>
      </w:r>
      <w:r w:rsidRPr="0096067D">
        <w:t xml:space="preserve"> B</w:t>
      </w:r>
      <w:r w:rsidR="0065475E" w:rsidRPr="0096067D">
        <w:t>ölüm Başkanlığına teslim edilmesi gerekmektir</w:t>
      </w:r>
      <w:r w:rsidR="0096067D" w:rsidRPr="0096067D">
        <w:t>.</w:t>
      </w:r>
    </w:p>
    <w:p w:rsidR="007226FB" w:rsidRPr="007F1DDF" w:rsidRDefault="00DD034C" w:rsidP="00DA4F0D">
      <w:pPr>
        <w:ind w:right="-177"/>
        <w:jc w:val="both"/>
      </w:pPr>
      <w:r w:rsidRPr="0096067D">
        <w:tab/>
        <w:t>(4</w:t>
      </w:r>
      <w:r w:rsidR="000B1579" w:rsidRPr="0096067D">
        <w:t>)</w:t>
      </w:r>
      <w:r w:rsidR="007226FB" w:rsidRPr="0096067D">
        <w:t xml:space="preserve"> </w:t>
      </w:r>
      <w:r w:rsidR="00285A33" w:rsidRPr="0096067D">
        <w:t>Üniv</w:t>
      </w:r>
      <w:r w:rsidR="00F8474A">
        <w:t>ersitemiz l</w:t>
      </w:r>
      <w:r w:rsidR="0096067D">
        <w:t>isans ve programlarına kayıtlı ya da yatay</w:t>
      </w:r>
      <w:r w:rsidR="00285A33" w:rsidRPr="0096067D">
        <w:t xml:space="preserve"> geçiş ile gelen /gelecek öğrenciler için; eğitimleri %100 İngiliz</w:t>
      </w:r>
      <w:r w:rsidR="00267E4D">
        <w:t xml:space="preserve">ce olan Üniversitelerin yabancı dil hazırlık eğitimini </w:t>
      </w:r>
      <w:r w:rsidR="00285A33" w:rsidRPr="0096067D">
        <w:t xml:space="preserve">almış ve </w:t>
      </w:r>
      <w:proofErr w:type="gramStart"/>
      <w:r w:rsidR="00285A33" w:rsidRPr="0096067D">
        <w:t>yeterlik  sınavını</w:t>
      </w:r>
      <w:proofErr w:type="gramEnd"/>
      <w:r w:rsidR="00285A33" w:rsidRPr="0096067D">
        <w:t xml:space="preserve">  geçmiş olmaları  veya  bunların muafiyet  sınavını  başarı  ile geçmiş olmaları şartıyla, Üniversitemizde yabancı dil eğitiminden</w:t>
      </w:r>
      <w:r w:rsidR="009014AE" w:rsidRPr="0096067D">
        <w:t xml:space="preserve"> muaf  tutulurlar.</w:t>
      </w:r>
      <w:r w:rsidR="007F1DDF" w:rsidRPr="0096067D">
        <w:t xml:space="preserve"> </w:t>
      </w:r>
    </w:p>
    <w:p w:rsidR="007226FB" w:rsidRPr="007F1DDF" w:rsidRDefault="007226FB" w:rsidP="00DA4F0D">
      <w:pPr>
        <w:ind w:right="-177"/>
        <w:jc w:val="both"/>
      </w:pPr>
    </w:p>
    <w:p w:rsidR="00F806A3" w:rsidRPr="007F1DDF" w:rsidRDefault="00F806A3" w:rsidP="0042778A">
      <w:pPr>
        <w:ind w:right="-177"/>
        <w:rPr>
          <w:b/>
        </w:rPr>
      </w:pPr>
    </w:p>
    <w:p w:rsidR="00A47276" w:rsidRPr="007F1DDF" w:rsidRDefault="00DB407C" w:rsidP="00DA4F0D">
      <w:pPr>
        <w:ind w:right="-177"/>
        <w:jc w:val="center"/>
        <w:rPr>
          <w:b/>
        </w:rPr>
      </w:pPr>
      <w:r>
        <w:rPr>
          <w:b/>
        </w:rPr>
        <w:t>DÖRDÜNCÜ</w:t>
      </w:r>
      <w:r w:rsidR="005B738C" w:rsidRPr="007F1DDF">
        <w:rPr>
          <w:b/>
        </w:rPr>
        <w:t xml:space="preserve"> </w:t>
      </w:r>
      <w:r w:rsidR="00A47276" w:rsidRPr="007F1DDF">
        <w:rPr>
          <w:b/>
        </w:rPr>
        <w:t>BÖLÜM</w:t>
      </w:r>
    </w:p>
    <w:p w:rsidR="00DD034C" w:rsidRPr="007F1DDF" w:rsidRDefault="00DD034C" w:rsidP="00DA4F0D">
      <w:pPr>
        <w:ind w:right="-177"/>
        <w:jc w:val="center"/>
        <w:rPr>
          <w:b/>
        </w:rPr>
      </w:pPr>
      <w:r w:rsidRPr="007F1DDF">
        <w:rPr>
          <w:b/>
        </w:rPr>
        <w:t>Diğer Hükümler</w:t>
      </w:r>
    </w:p>
    <w:p w:rsidR="00DD034C" w:rsidRPr="007F1DDF" w:rsidRDefault="00DD034C" w:rsidP="00DA4F0D">
      <w:pPr>
        <w:tabs>
          <w:tab w:val="left" w:pos="567"/>
        </w:tabs>
        <w:ind w:right="-177"/>
        <w:jc w:val="both"/>
      </w:pPr>
    </w:p>
    <w:p w:rsidR="00DD034C" w:rsidRPr="007F1DDF" w:rsidRDefault="00DD034C" w:rsidP="00DA4F0D">
      <w:pPr>
        <w:ind w:right="-177" w:firstLine="708"/>
        <w:jc w:val="both"/>
        <w:rPr>
          <w:b/>
        </w:rPr>
      </w:pPr>
      <w:r w:rsidRPr="007F1DDF">
        <w:rPr>
          <w:b/>
        </w:rPr>
        <w:t>Sınav sonucuna itiraz</w:t>
      </w:r>
    </w:p>
    <w:p w:rsidR="00DD034C" w:rsidRPr="007F1DDF" w:rsidRDefault="00DD034C" w:rsidP="00DA4F0D">
      <w:pPr>
        <w:tabs>
          <w:tab w:val="left" w:pos="567"/>
        </w:tabs>
        <w:ind w:right="-177"/>
        <w:jc w:val="both"/>
      </w:pPr>
      <w:r w:rsidRPr="007F1DDF">
        <w:rPr>
          <w:b/>
        </w:rPr>
        <w:tab/>
      </w:r>
      <w:r w:rsidRPr="007F1DDF">
        <w:t xml:space="preserve"> </w:t>
      </w:r>
      <w:r w:rsidRPr="007F1DDF">
        <w:tab/>
      </w:r>
      <w:r w:rsidRPr="007F1DDF">
        <w:rPr>
          <w:b/>
        </w:rPr>
        <w:t xml:space="preserve">MADDE </w:t>
      </w:r>
      <w:r w:rsidR="0096067D">
        <w:rPr>
          <w:b/>
        </w:rPr>
        <w:t>17</w:t>
      </w:r>
      <w:r w:rsidR="00EE50D8" w:rsidRPr="007F1DDF">
        <w:rPr>
          <w:b/>
        </w:rPr>
        <w:t>-</w:t>
      </w:r>
      <w:r w:rsidR="00886637" w:rsidRPr="007F1DDF">
        <w:rPr>
          <w:b/>
        </w:rPr>
        <w:t xml:space="preserve"> </w:t>
      </w:r>
      <w:r w:rsidRPr="007F1DDF">
        <w:t xml:space="preserve">(1) Sınav sonuçlarına maddi hata nedeniyle itiraz, ilgili öğretim elemanının bildirimi veya </w:t>
      </w:r>
      <w:r w:rsidR="00CB5980" w:rsidRPr="007F1DDF">
        <w:t>notların ilanını takip eden beş</w:t>
      </w:r>
      <w:r w:rsidRPr="007F1DDF">
        <w:t xml:space="preserve"> iş günü içinde öğrencinin dilekçesiyle yapılır. İtirazlar, </w:t>
      </w:r>
      <w:r w:rsidRPr="007F1DDF">
        <w:lastRenderedPageBreak/>
        <w:t>Yabancı Dil</w:t>
      </w:r>
      <w:r w:rsidR="000B1579" w:rsidRPr="007F1DDF">
        <w:t>ler</w:t>
      </w:r>
      <w:r w:rsidRPr="007F1DDF">
        <w:t xml:space="preserve"> Bölüm</w:t>
      </w:r>
      <w:r w:rsidR="000B1579" w:rsidRPr="007F1DDF">
        <w:t>ü</w:t>
      </w:r>
      <w:r w:rsidRPr="007F1DDF">
        <w:t xml:space="preserve"> Başkanlığının kuracağı bir komisyon tarafından incele</w:t>
      </w:r>
      <w:r w:rsidR="000B1579" w:rsidRPr="007F1DDF">
        <w:t xml:space="preserve">nir ve Yabancı Diller </w:t>
      </w:r>
      <w:r w:rsidR="00A16406" w:rsidRPr="007F1DDF">
        <w:t xml:space="preserve">Bölüm Başkanlığı </w:t>
      </w:r>
      <w:r w:rsidRPr="007F1DDF">
        <w:t xml:space="preserve">tarafından karara bağlanır. Öğrencinin itiraz süresinin bitiminden sonra sınav sonuçları için yapacağı itirazlar işleme alınmaz. </w:t>
      </w:r>
    </w:p>
    <w:p w:rsidR="00A30892" w:rsidRPr="007F1DDF" w:rsidRDefault="00DD034C" w:rsidP="00DA4F0D">
      <w:pPr>
        <w:tabs>
          <w:tab w:val="left" w:pos="567"/>
        </w:tabs>
        <w:ind w:right="-177"/>
        <w:jc w:val="both"/>
      </w:pPr>
      <w:r w:rsidRPr="007F1DDF">
        <w:tab/>
      </w:r>
      <w:r w:rsidRPr="007F1DDF">
        <w:tab/>
        <w:t>(2) Üniversite tarafından Üniversite dışındaki sınav merkezlerine yaptırılan sınavlara ilişkin itirazların değerlendirilmesine ait ücretler öğrenciler tarafından karşılanır.</w:t>
      </w:r>
    </w:p>
    <w:p w:rsidR="00DD034C" w:rsidRPr="007F1DDF" w:rsidRDefault="003600D7" w:rsidP="00DA4F0D">
      <w:pPr>
        <w:ind w:right="-177"/>
        <w:jc w:val="both"/>
        <w:rPr>
          <w:b/>
        </w:rPr>
      </w:pPr>
      <w:r w:rsidRPr="007F1DDF">
        <w:rPr>
          <w:b/>
        </w:rPr>
        <w:tab/>
      </w:r>
      <w:r w:rsidR="00DD034C" w:rsidRPr="007F1DDF">
        <w:rPr>
          <w:b/>
        </w:rPr>
        <w:t xml:space="preserve">Başarı notunun not döküm belgesine işlenmesi </w:t>
      </w:r>
    </w:p>
    <w:p w:rsidR="00DD034C" w:rsidRPr="007F1DDF" w:rsidRDefault="00DD034C" w:rsidP="00DA4F0D">
      <w:pPr>
        <w:ind w:right="-177"/>
        <w:jc w:val="both"/>
      </w:pPr>
      <w:r w:rsidRPr="007F1DDF">
        <w:tab/>
      </w:r>
      <w:r w:rsidRPr="007F1DDF">
        <w:rPr>
          <w:b/>
        </w:rPr>
        <w:t xml:space="preserve">MADDE </w:t>
      </w:r>
      <w:r w:rsidR="0096067D">
        <w:rPr>
          <w:b/>
        </w:rPr>
        <w:t>18</w:t>
      </w:r>
      <w:r w:rsidR="00EE50D8" w:rsidRPr="007F1DDF">
        <w:rPr>
          <w:b/>
        </w:rPr>
        <w:t>-</w:t>
      </w:r>
      <w:r w:rsidR="00886637" w:rsidRPr="007F1DDF">
        <w:rPr>
          <w:b/>
        </w:rPr>
        <w:t xml:space="preserve"> </w:t>
      </w:r>
      <w:r w:rsidRPr="007F1DDF">
        <w:t xml:space="preserve">(1) Not döküm belgesine hazırlık programı için sayısal başarı notu işlenmez. </w:t>
      </w:r>
    </w:p>
    <w:p w:rsidR="00DE5E93" w:rsidRPr="007F1DDF" w:rsidRDefault="00DD034C" w:rsidP="00DA4F0D">
      <w:pPr>
        <w:ind w:right="-177"/>
        <w:jc w:val="both"/>
      </w:pPr>
      <w:r w:rsidRPr="007F1DDF">
        <w:t>(2) Ma</w:t>
      </w:r>
      <w:r w:rsidR="003B2AE7" w:rsidRPr="007F1DDF">
        <w:t xml:space="preserve">dde 7 </w:t>
      </w:r>
      <w:proofErr w:type="spellStart"/>
      <w:r w:rsidR="00442FCA" w:rsidRPr="007F1DDF">
        <w:t>nin</w:t>
      </w:r>
      <w:proofErr w:type="spellEnd"/>
      <w:r w:rsidR="00442FCA" w:rsidRPr="007F1DDF">
        <w:t xml:space="preserve"> üçüncü ve dördüncü </w:t>
      </w:r>
      <w:r w:rsidRPr="007F1DDF">
        <w:t xml:space="preserve">fıkraları kapsamındaki öğrencilerden </w:t>
      </w:r>
      <w:r w:rsidR="00EE50D8" w:rsidRPr="007F1DDF">
        <w:t xml:space="preserve">İngilizce </w:t>
      </w:r>
      <w:r w:rsidR="00AA3F67" w:rsidRPr="007F1DDF">
        <w:t>Hazırlık P</w:t>
      </w:r>
      <w:r w:rsidRPr="007F1DDF">
        <w:t>rogramını başarıyla tamamlayan öğrencilerin b</w:t>
      </w:r>
      <w:r w:rsidR="00442FCA" w:rsidRPr="007F1DDF">
        <w:t>aşarı durumu not dökümlerine “</w:t>
      </w:r>
      <w:r w:rsidR="0096067D">
        <w:t>S</w:t>
      </w:r>
      <w:r w:rsidR="00DE5E93" w:rsidRPr="007F1DDF">
        <w:t xml:space="preserve"> harfi olarak işlenir ve not ortalamasında dikkate alınmaz.  </w:t>
      </w:r>
    </w:p>
    <w:p w:rsidR="00DD034C" w:rsidRPr="007F1DDF" w:rsidRDefault="003600D7" w:rsidP="00DA4F0D">
      <w:pPr>
        <w:ind w:right="-177" w:firstLine="708"/>
        <w:jc w:val="both"/>
        <w:rPr>
          <w:b/>
        </w:rPr>
      </w:pPr>
      <w:r w:rsidRPr="007F1DDF">
        <w:rPr>
          <w:b/>
        </w:rPr>
        <w:t xml:space="preserve"> </w:t>
      </w:r>
      <w:r w:rsidR="00DD034C" w:rsidRPr="007F1DDF">
        <w:rPr>
          <w:b/>
        </w:rPr>
        <w:t>Notların kaydı</w:t>
      </w:r>
    </w:p>
    <w:p w:rsidR="00DD034C" w:rsidRPr="007F1DDF" w:rsidRDefault="00DD034C" w:rsidP="00DA4F0D">
      <w:pPr>
        <w:ind w:right="-177"/>
        <w:jc w:val="both"/>
      </w:pPr>
      <w:r w:rsidRPr="007F1DDF">
        <w:rPr>
          <w:b/>
        </w:rPr>
        <w:t xml:space="preserve">         </w:t>
      </w:r>
      <w:r w:rsidRPr="007F1DDF">
        <w:rPr>
          <w:b/>
        </w:rPr>
        <w:tab/>
        <w:t xml:space="preserve">MADDE </w:t>
      </w:r>
      <w:r w:rsidR="0096067D">
        <w:rPr>
          <w:b/>
        </w:rPr>
        <w:t>19</w:t>
      </w:r>
      <w:r w:rsidRPr="007F1DDF">
        <w:rPr>
          <w:b/>
        </w:rPr>
        <w:t>-</w:t>
      </w:r>
      <w:r w:rsidR="00886637" w:rsidRPr="007F1DDF">
        <w:rPr>
          <w:b/>
        </w:rPr>
        <w:t xml:space="preserve"> </w:t>
      </w:r>
      <w:r w:rsidRPr="007F1DDF">
        <w:t>(1) İngilizce Hazırlık Programı öğrencilerinin notları, Yabancı Dil</w:t>
      </w:r>
      <w:r w:rsidR="000B683D" w:rsidRPr="007F1DDF">
        <w:t>ler</w:t>
      </w:r>
      <w:r w:rsidRPr="007F1DDF">
        <w:t xml:space="preserve"> Bölüm</w:t>
      </w:r>
      <w:r w:rsidR="000B683D" w:rsidRPr="007F1DDF">
        <w:t>ü</w:t>
      </w:r>
      <w:r w:rsidRPr="007F1DDF">
        <w:t xml:space="preserve"> Başkanlığı tarafından İngilizce Hazırlık Programı Öğrenci Bilgi Sistemi kayıtlarına geçirilir.</w:t>
      </w:r>
    </w:p>
    <w:p w:rsidR="00A30892" w:rsidRPr="007F1DDF" w:rsidRDefault="00DD034C" w:rsidP="00DA4F0D">
      <w:pPr>
        <w:ind w:right="-177"/>
        <w:jc w:val="both"/>
      </w:pPr>
      <w:r w:rsidRPr="007F1DDF">
        <w:tab/>
        <w:t xml:space="preserve">(2) İngilizce Hazırlık Programında yapılan </w:t>
      </w:r>
      <w:r w:rsidR="006731CD" w:rsidRPr="007F1DDF">
        <w:t xml:space="preserve">THKU </w:t>
      </w:r>
      <w:r w:rsidR="00BC323C" w:rsidRPr="007F1DDF">
        <w:t>Yeterlik Sınavı</w:t>
      </w:r>
      <w:r w:rsidRPr="007F1DDF">
        <w:t xml:space="preserve"> sonuçlarına göre öğrencilerin muafiyet durumları Yabancı Dil</w:t>
      </w:r>
      <w:r w:rsidR="000B683D" w:rsidRPr="007F1DDF">
        <w:t>ler</w:t>
      </w:r>
      <w:r w:rsidRPr="007F1DDF">
        <w:t xml:space="preserve"> Bölüm</w:t>
      </w:r>
      <w:r w:rsidR="000B683D" w:rsidRPr="007F1DDF">
        <w:t>ü</w:t>
      </w:r>
      <w:r w:rsidRPr="007F1DDF">
        <w:t xml:space="preserve"> Başkanlığı tarafından not döküm belgesine işlenmek üzere Öğrenci İşleri Müdürlüğüne toplu olarak bildirilir. Bu kapsamdaki öğrenciler muafiyet işlemleri için ayrıca başvuru yapmazlar.</w:t>
      </w:r>
    </w:p>
    <w:p w:rsidR="00DD034C" w:rsidRPr="007F1DDF" w:rsidRDefault="003600D7" w:rsidP="00DA4F0D">
      <w:pPr>
        <w:ind w:right="-177"/>
        <w:jc w:val="both"/>
        <w:rPr>
          <w:b/>
        </w:rPr>
      </w:pPr>
      <w:r w:rsidRPr="007F1DDF">
        <w:rPr>
          <w:b/>
        </w:rPr>
        <w:tab/>
      </w:r>
      <w:r w:rsidR="00DD034C" w:rsidRPr="007F1DDF">
        <w:rPr>
          <w:b/>
        </w:rPr>
        <w:t>Sınav evrakının saklanması</w:t>
      </w:r>
    </w:p>
    <w:p w:rsidR="00A30892" w:rsidRPr="007F1DDF" w:rsidRDefault="00DD034C" w:rsidP="00DA4F0D">
      <w:pPr>
        <w:ind w:right="-177" w:firstLine="708"/>
        <w:jc w:val="both"/>
      </w:pPr>
      <w:r w:rsidRPr="007F1DDF">
        <w:rPr>
          <w:b/>
        </w:rPr>
        <w:t xml:space="preserve">MADDE </w:t>
      </w:r>
      <w:r w:rsidR="00EE50D8" w:rsidRPr="007F1DDF">
        <w:rPr>
          <w:b/>
        </w:rPr>
        <w:t>2</w:t>
      </w:r>
      <w:r w:rsidR="00DB407C">
        <w:rPr>
          <w:b/>
        </w:rPr>
        <w:t>0</w:t>
      </w:r>
      <w:r w:rsidRPr="007F1DDF">
        <w:rPr>
          <w:b/>
        </w:rPr>
        <w:t>-</w:t>
      </w:r>
      <w:r w:rsidR="00886637" w:rsidRPr="007F1DDF">
        <w:rPr>
          <w:b/>
        </w:rPr>
        <w:t xml:space="preserve"> </w:t>
      </w:r>
      <w:r w:rsidRPr="007F1DDF">
        <w:t>(1) Sınav ve sınav evrakı Yabancı Dil</w:t>
      </w:r>
      <w:r w:rsidR="00115DBB" w:rsidRPr="007F1DDF">
        <w:t>ler</w:t>
      </w:r>
      <w:r w:rsidRPr="007F1DDF">
        <w:t xml:space="preserve"> Bölüm</w:t>
      </w:r>
      <w:r w:rsidR="00115DBB" w:rsidRPr="007F1DDF">
        <w:t>ü</w:t>
      </w:r>
      <w:r w:rsidRPr="007F1DDF">
        <w:t xml:space="preserve"> Başkanlığınca beş yıl süre ile muhafaza edilir. </w:t>
      </w:r>
    </w:p>
    <w:p w:rsidR="00DD034C" w:rsidRPr="007F1DDF" w:rsidRDefault="003600D7" w:rsidP="00DA4F0D">
      <w:pPr>
        <w:ind w:right="-177"/>
        <w:jc w:val="both"/>
        <w:rPr>
          <w:b/>
        </w:rPr>
      </w:pPr>
      <w:r w:rsidRPr="007F1DDF">
        <w:rPr>
          <w:b/>
        </w:rPr>
        <w:tab/>
      </w:r>
      <w:r w:rsidR="00DD034C" w:rsidRPr="007F1DDF">
        <w:t xml:space="preserve"> </w:t>
      </w:r>
      <w:r w:rsidR="00DD034C" w:rsidRPr="007F1DDF">
        <w:rPr>
          <w:b/>
        </w:rPr>
        <w:t>İzinler</w:t>
      </w:r>
    </w:p>
    <w:p w:rsidR="00DD034C" w:rsidRPr="007F1DDF" w:rsidRDefault="00DD034C" w:rsidP="00DA4F0D">
      <w:pPr>
        <w:pStyle w:val="3-NormalYaz"/>
        <w:ind w:right="-177"/>
        <w:rPr>
          <w:sz w:val="24"/>
          <w:szCs w:val="24"/>
        </w:rPr>
      </w:pPr>
      <w:r w:rsidRPr="007F1DDF">
        <w:rPr>
          <w:b/>
          <w:sz w:val="24"/>
          <w:szCs w:val="24"/>
        </w:rPr>
        <w:tab/>
      </w:r>
      <w:r w:rsidRPr="007F1DDF">
        <w:rPr>
          <w:b/>
          <w:sz w:val="24"/>
          <w:szCs w:val="24"/>
        </w:rPr>
        <w:tab/>
      </w:r>
      <w:r w:rsidRPr="007F1DDF">
        <w:rPr>
          <w:b/>
          <w:sz w:val="24"/>
          <w:szCs w:val="24"/>
          <w:lang w:eastAsia="tr-TR"/>
        </w:rPr>
        <w:t xml:space="preserve">MADDE </w:t>
      </w:r>
      <w:r w:rsidR="00EE50D8" w:rsidRPr="007F1DDF">
        <w:rPr>
          <w:b/>
          <w:sz w:val="24"/>
          <w:szCs w:val="24"/>
          <w:lang w:eastAsia="tr-TR"/>
        </w:rPr>
        <w:t>2</w:t>
      </w:r>
      <w:r w:rsidR="00DB407C">
        <w:rPr>
          <w:b/>
          <w:sz w:val="24"/>
          <w:szCs w:val="24"/>
          <w:lang w:eastAsia="tr-TR"/>
        </w:rPr>
        <w:t>1</w:t>
      </w:r>
      <w:r w:rsidRPr="007F1DDF">
        <w:rPr>
          <w:b/>
          <w:sz w:val="24"/>
          <w:szCs w:val="24"/>
          <w:lang w:eastAsia="tr-TR"/>
        </w:rPr>
        <w:t>-</w:t>
      </w:r>
      <w:r w:rsidRPr="007F1DDF">
        <w:rPr>
          <w:sz w:val="24"/>
          <w:szCs w:val="24"/>
        </w:rPr>
        <w:t>(1) Öğrenciler geçerli nedenlerle yarıyıl izni başvurusunda bulunabilirler.</w:t>
      </w:r>
      <w:r w:rsidR="002E1FF7" w:rsidRPr="007F1DDF">
        <w:rPr>
          <w:sz w:val="24"/>
          <w:szCs w:val="24"/>
        </w:rPr>
        <w:t xml:space="preserve"> İngilizce Hazırlık Programına kayıtlı öğrenciler kayıt dondurma başvurularını</w:t>
      </w:r>
      <w:r w:rsidR="00394AC7" w:rsidRPr="007F1DDF">
        <w:rPr>
          <w:sz w:val="24"/>
          <w:szCs w:val="24"/>
        </w:rPr>
        <w:t>n</w:t>
      </w:r>
      <w:r w:rsidR="002E1FF7" w:rsidRPr="007F1DDF">
        <w:rPr>
          <w:sz w:val="24"/>
          <w:szCs w:val="24"/>
        </w:rPr>
        <w:t xml:space="preserve"> </w:t>
      </w:r>
      <w:r w:rsidR="00DB407C" w:rsidRPr="007F1DDF">
        <w:rPr>
          <w:sz w:val="24"/>
          <w:szCs w:val="24"/>
        </w:rPr>
        <w:t>gerekçelerini kayıtlı</w:t>
      </w:r>
      <w:r w:rsidR="00394AC7" w:rsidRPr="007F1DDF">
        <w:rPr>
          <w:sz w:val="24"/>
          <w:szCs w:val="24"/>
        </w:rPr>
        <w:t xml:space="preserve"> oldukları </w:t>
      </w:r>
      <w:proofErr w:type="spellStart"/>
      <w:r w:rsidR="00394AC7" w:rsidRPr="007F1DDF">
        <w:rPr>
          <w:sz w:val="24"/>
          <w:szCs w:val="24"/>
        </w:rPr>
        <w:t>Fakülte’ye</w:t>
      </w:r>
      <w:proofErr w:type="spellEnd"/>
      <w:r w:rsidR="00394AC7" w:rsidRPr="007F1DDF">
        <w:rPr>
          <w:sz w:val="24"/>
          <w:szCs w:val="24"/>
        </w:rPr>
        <w:t xml:space="preserve"> dilekçe ile </w:t>
      </w:r>
      <w:r w:rsidR="002E1FF7" w:rsidRPr="007F1DDF">
        <w:rPr>
          <w:sz w:val="24"/>
          <w:szCs w:val="24"/>
        </w:rPr>
        <w:t xml:space="preserve">bildirerek yaparlar. </w:t>
      </w:r>
    </w:p>
    <w:p w:rsidR="00E4454A" w:rsidRPr="007F1DDF" w:rsidRDefault="002E1FF7" w:rsidP="00DA4F0D">
      <w:pPr>
        <w:pStyle w:val="3-NormalYaz"/>
        <w:ind w:right="-177"/>
        <w:rPr>
          <w:sz w:val="24"/>
          <w:szCs w:val="24"/>
        </w:rPr>
      </w:pPr>
      <w:r w:rsidRPr="007F1DDF">
        <w:rPr>
          <w:sz w:val="24"/>
          <w:szCs w:val="24"/>
        </w:rPr>
        <w:tab/>
      </w:r>
      <w:r w:rsidRPr="007F1DDF">
        <w:rPr>
          <w:sz w:val="24"/>
          <w:szCs w:val="24"/>
        </w:rPr>
        <w:tab/>
        <w:t>(2</w:t>
      </w:r>
      <w:r w:rsidR="00DD034C" w:rsidRPr="007F1DDF">
        <w:rPr>
          <w:sz w:val="24"/>
          <w:szCs w:val="24"/>
        </w:rPr>
        <w:t>) İzinlerle ilgili husu</w:t>
      </w:r>
      <w:r w:rsidR="00530895" w:rsidRPr="007F1DDF">
        <w:rPr>
          <w:sz w:val="24"/>
          <w:szCs w:val="24"/>
        </w:rPr>
        <w:t>slarda Türk Hava Kurumu</w:t>
      </w:r>
      <w:r w:rsidR="00DD034C" w:rsidRPr="007F1DDF">
        <w:rPr>
          <w:sz w:val="24"/>
          <w:szCs w:val="24"/>
        </w:rPr>
        <w:t xml:space="preserve"> Üniversitesi </w:t>
      </w:r>
      <w:r w:rsidR="00F8474A" w:rsidRPr="00F8474A">
        <w:rPr>
          <w:sz w:val="24"/>
          <w:szCs w:val="24"/>
        </w:rPr>
        <w:t>Ön Lisans ve Lisans Eğitim ve Öğretim Yönetmeliği</w:t>
      </w:r>
      <w:r w:rsidR="008529DE" w:rsidRPr="007F1DDF">
        <w:rPr>
          <w:sz w:val="24"/>
          <w:szCs w:val="24"/>
        </w:rPr>
        <w:t xml:space="preserve">’nin Kayıt Dondurma </w:t>
      </w:r>
      <w:r w:rsidRPr="007F1DDF">
        <w:rPr>
          <w:sz w:val="24"/>
          <w:szCs w:val="24"/>
        </w:rPr>
        <w:t xml:space="preserve">hükümleri uygulanır. </w:t>
      </w:r>
    </w:p>
    <w:p w:rsidR="00E24BBC" w:rsidRPr="007F1DDF" w:rsidRDefault="003600D7" w:rsidP="00DA4F0D">
      <w:pPr>
        <w:tabs>
          <w:tab w:val="left" w:pos="567"/>
        </w:tabs>
        <w:ind w:right="-177"/>
        <w:jc w:val="both"/>
        <w:rPr>
          <w:b/>
        </w:rPr>
      </w:pPr>
      <w:r w:rsidRPr="007F1DDF">
        <w:rPr>
          <w:b/>
        </w:rPr>
        <w:tab/>
      </w:r>
    </w:p>
    <w:p w:rsidR="00DD034C" w:rsidRPr="007F1DDF" w:rsidRDefault="003600D7" w:rsidP="00DA4F0D">
      <w:pPr>
        <w:tabs>
          <w:tab w:val="left" w:pos="567"/>
        </w:tabs>
        <w:ind w:right="-177"/>
        <w:jc w:val="both"/>
        <w:rPr>
          <w:b/>
        </w:rPr>
      </w:pPr>
      <w:r w:rsidRPr="007F1DDF">
        <w:rPr>
          <w:b/>
        </w:rPr>
        <w:t xml:space="preserve">  </w:t>
      </w:r>
      <w:r w:rsidR="00DD034C" w:rsidRPr="007F1DDF">
        <w:rPr>
          <w:b/>
        </w:rPr>
        <w:t xml:space="preserve">Disiplin işlemleri  </w:t>
      </w:r>
    </w:p>
    <w:p w:rsidR="00DD034C" w:rsidRPr="007F1DDF" w:rsidRDefault="00DD034C" w:rsidP="00DA4F0D">
      <w:pPr>
        <w:tabs>
          <w:tab w:val="left" w:pos="567"/>
        </w:tabs>
        <w:ind w:right="-177"/>
        <w:jc w:val="both"/>
      </w:pPr>
      <w:r w:rsidRPr="007F1DDF">
        <w:rPr>
          <w:b/>
        </w:rPr>
        <w:tab/>
      </w:r>
      <w:r w:rsidRPr="007F1DDF">
        <w:rPr>
          <w:b/>
        </w:rPr>
        <w:tab/>
        <w:t xml:space="preserve">MADDE </w:t>
      </w:r>
      <w:r w:rsidR="00EE50D8" w:rsidRPr="007F1DDF">
        <w:rPr>
          <w:b/>
        </w:rPr>
        <w:t>2</w:t>
      </w:r>
      <w:r w:rsidR="00DB407C">
        <w:rPr>
          <w:b/>
        </w:rPr>
        <w:t>2</w:t>
      </w:r>
      <w:r w:rsidRPr="007F1DDF">
        <w:rPr>
          <w:b/>
        </w:rPr>
        <w:t>-</w:t>
      </w:r>
      <w:r w:rsidR="00886637" w:rsidRPr="007F1DDF">
        <w:rPr>
          <w:b/>
        </w:rPr>
        <w:t xml:space="preserve"> </w:t>
      </w:r>
      <w:r w:rsidRPr="007F1DDF">
        <w:t xml:space="preserve">(1) Öğrencilerin disiplin işlemleri; Yükseköğretim Kurulu tarafından çıkarılan, 13.01.1985 tarihli ve 18634 sayılı Resmî </w:t>
      </w:r>
      <w:proofErr w:type="spellStart"/>
      <w:r w:rsidRPr="007F1DDF">
        <w:t>Gazete’de</w:t>
      </w:r>
      <w:proofErr w:type="spellEnd"/>
      <w:r w:rsidRPr="007F1DDF">
        <w:t xml:space="preserve"> yayımlanan Yükseköğretim Kurumları Öğrenci Disiplin Yönetmeliği çerçevesinde, Üniversite tarafından belirlenen kurallara göre yapılır.</w:t>
      </w:r>
    </w:p>
    <w:p w:rsidR="003600D7" w:rsidRPr="007F1DDF" w:rsidRDefault="00DD034C" w:rsidP="00DA4F0D">
      <w:pPr>
        <w:tabs>
          <w:tab w:val="left" w:pos="567"/>
        </w:tabs>
        <w:ind w:right="-177"/>
        <w:jc w:val="both"/>
      </w:pPr>
      <w:r w:rsidRPr="007F1DDF">
        <w:tab/>
      </w:r>
      <w:r w:rsidRPr="007F1DDF">
        <w:tab/>
        <w:t xml:space="preserve">(2) Üniversiteden geçici uzaklaştırma cezası alan öğrenciler cezalı olduğu süre içinde derslere devam edemez ve sınavlara giremez. Bu süreleri eğitim-öğretim süresine sayılır ve öğrenciler bu süreler için öğrenim ücretlerinin tamamını öderler. </w:t>
      </w:r>
    </w:p>
    <w:p w:rsidR="00DD034C" w:rsidRPr="007F1DDF" w:rsidRDefault="003600D7" w:rsidP="00DA4F0D">
      <w:pPr>
        <w:tabs>
          <w:tab w:val="left" w:pos="567"/>
        </w:tabs>
        <w:ind w:right="-177"/>
        <w:jc w:val="both"/>
        <w:rPr>
          <w:b/>
        </w:rPr>
      </w:pPr>
      <w:r w:rsidRPr="007F1DDF">
        <w:rPr>
          <w:b/>
        </w:rPr>
        <w:tab/>
        <w:t xml:space="preserve">  </w:t>
      </w:r>
      <w:r w:rsidR="00DD034C" w:rsidRPr="007F1DDF">
        <w:rPr>
          <w:b/>
        </w:rPr>
        <w:t>Öğrenim ücreti</w:t>
      </w:r>
    </w:p>
    <w:p w:rsidR="003600D7" w:rsidRPr="007F1DDF" w:rsidRDefault="00DD034C" w:rsidP="00DA4F0D">
      <w:pPr>
        <w:tabs>
          <w:tab w:val="left" w:pos="567"/>
        </w:tabs>
        <w:ind w:right="-177"/>
        <w:jc w:val="both"/>
      </w:pPr>
      <w:r w:rsidRPr="007F1DDF">
        <w:rPr>
          <w:b/>
        </w:rPr>
        <w:tab/>
      </w:r>
      <w:r w:rsidRPr="007F1DDF">
        <w:rPr>
          <w:b/>
        </w:rPr>
        <w:tab/>
        <w:t xml:space="preserve">MADDE </w:t>
      </w:r>
      <w:r w:rsidR="00EE50D8" w:rsidRPr="007F1DDF">
        <w:rPr>
          <w:b/>
        </w:rPr>
        <w:t>2</w:t>
      </w:r>
      <w:r w:rsidR="00DB407C">
        <w:rPr>
          <w:b/>
        </w:rPr>
        <w:t>3</w:t>
      </w:r>
      <w:r w:rsidRPr="007F1DDF">
        <w:rPr>
          <w:b/>
        </w:rPr>
        <w:t>-</w:t>
      </w:r>
      <w:r w:rsidR="00886637" w:rsidRPr="007F1DDF">
        <w:rPr>
          <w:b/>
        </w:rPr>
        <w:t xml:space="preserve"> </w:t>
      </w:r>
      <w:r w:rsidRPr="007F1DDF">
        <w:t>(1) Öğrenciler her yarıyılın başında, belirlenen miktarda ve zamanda öğren</w:t>
      </w:r>
      <w:r w:rsidR="00E4454A" w:rsidRPr="007F1DDF">
        <w:t>im ücretini ödemekle yükümlüdürler.</w:t>
      </w:r>
      <w:r w:rsidRPr="007F1DDF">
        <w:t xml:space="preserve"> Öğrenim ücretini belirlenen süreler içinde ödemeyen öğrencinin kayıt işlemleri yapılmaz. </w:t>
      </w:r>
    </w:p>
    <w:p w:rsidR="00E4454A" w:rsidRPr="007F1DDF" w:rsidRDefault="00E4454A" w:rsidP="00DA4F0D">
      <w:pPr>
        <w:tabs>
          <w:tab w:val="left" w:pos="567"/>
        </w:tabs>
        <w:ind w:right="-177"/>
        <w:jc w:val="both"/>
      </w:pPr>
    </w:p>
    <w:p w:rsidR="00DD034C" w:rsidRPr="007F1DDF" w:rsidRDefault="003600D7" w:rsidP="00DA4F0D">
      <w:pPr>
        <w:tabs>
          <w:tab w:val="left" w:pos="567"/>
        </w:tabs>
        <w:ind w:right="-177"/>
        <w:jc w:val="both"/>
        <w:rPr>
          <w:b/>
        </w:rPr>
      </w:pPr>
      <w:r w:rsidRPr="007F1DDF">
        <w:rPr>
          <w:b/>
        </w:rPr>
        <w:tab/>
        <w:t xml:space="preserve">  </w:t>
      </w:r>
      <w:r w:rsidR="00DD034C" w:rsidRPr="007F1DDF">
        <w:rPr>
          <w:b/>
        </w:rPr>
        <w:t>Yönergede hüküm bulunmayan haller</w:t>
      </w:r>
    </w:p>
    <w:p w:rsidR="00E4454A" w:rsidRPr="007F1DDF" w:rsidRDefault="00DD034C" w:rsidP="00DA4F0D">
      <w:pPr>
        <w:pStyle w:val="2-OrtaBaslk"/>
        <w:ind w:right="-177"/>
        <w:jc w:val="both"/>
        <w:rPr>
          <w:b w:val="0"/>
          <w:sz w:val="24"/>
          <w:szCs w:val="24"/>
          <w:shd w:val="clear" w:color="auto" w:fill="FFFF00"/>
          <w:lang w:eastAsia="tr-TR"/>
        </w:rPr>
      </w:pPr>
      <w:r w:rsidRPr="007F1DDF">
        <w:rPr>
          <w:b w:val="0"/>
          <w:sz w:val="24"/>
          <w:szCs w:val="24"/>
          <w:lang w:eastAsia="tr-TR"/>
        </w:rPr>
        <w:tab/>
      </w:r>
      <w:proofErr w:type="gramStart"/>
      <w:r w:rsidR="002E1FF7" w:rsidRPr="007F1DDF">
        <w:rPr>
          <w:sz w:val="24"/>
          <w:szCs w:val="24"/>
          <w:lang w:eastAsia="tr-TR"/>
        </w:rPr>
        <w:t xml:space="preserve">MADDE </w:t>
      </w:r>
      <w:r w:rsidR="00DB407C">
        <w:rPr>
          <w:sz w:val="24"/>
          <w:szCs w:val="24"/>
          <w:lang w:eastAsia="tr-TR"/>
        </w:rPr>
        <w:t>24</w:t>
      </w:r>
      <w:r w:rsidR="00886637" w:rsidRPr="007F1DDF">
        <w:rPr>
          <w:sz w:val="24"/>
          <w:szCs w:val="24"/>
          <w:lang w:eastAsia="tr-TR"/>
        </w:rPr>
        <w:t xml:space="preserve"> </w:t>
      </w:r>
      <w:r w:rsidRPr="007F1DDF">
        <w:rPr>
          <w:b w:val="0"/>
          <w:sz w:val="24"/>
          <w:szCs w:val="24"/>
          <w:lang w:eastAsia="tr-TR"/>
        </w:rPr>
        <w:t xml:space="preserve">(1) Bu yönergede yer almayan hususlarda </w:t>
      </w:r>
      <w:r w:rsidR="00442FCA" w:rsidRPr="007F1DDF">
        <w:rPr>
          <w:b w:val="0"/>
          <w:sz w:val="24"/>
          <w:szCs w:val="24"/>
          <w:lang w:eastAsia="tr-TR"/>
        </w:rPr>
        <w:t xml:space="preserve">Yüksek Öğretim Kurumlarında Yabancı Dil Öğretimi ve Yabancı Dille Öğretim Yapılmasında Uyulacak Esaslara İlişkin Yönetmelik, </w:t>
      </w:r>
      <w:r w:rsidRPr="007F1DDF">
        <w:rPr>
          <w:b w:val="0"/>
          <w:sz w:val="24"/>
          <w:szCs w:val="24"/>
          <w:lang w:eastAsia="tr-TR"/>
        </w:rPr>
        <w:t>T</w:t>
      </w:r>
      <w:r w:rsidR="005B37C9" w:rsidRPr="007F1DDF">
        <w:rPr>
          <w:b w:val="0"/>
          <w:sz w:val="24"/>
          <w:szCs w:val="24"/>
          <w:lang w:eastAsia="tr-TR"/>
        </w:rPr>
        <w:t xml:space="preserve">ürk Hava Kurumu </w:t>
      </w:r>
      <w:r w:rsidRPr="00F8474A">
        <w:rPr>
          <w:b w:val="0"/>
          <w:sz w:val="24"/>
          <w:szCs w:val="24"/>
          <w:lang w:eastAsia="tr-TR"/>
        </w:rPr>
        <w:t xml:space="preserve">Üniversitesi </w:t>
      </w:r>
      <w:r w:rsidR="00F8474A" w:rsidRPr="00F8474A">
        <w:rPr>
          <w:b w:val="0"/>
          <w:sz w:val="24"/>
          <w:szCs w:val="24"/>
        </w:rPr>
        <w:t>Ön Lisans ve Lisans Eğitim ve Öğretim Yönetmeliği</w:t>
      </w:r>
      <w:r w:rsidRPr="00F8474A">
        <w:rPr>
          <w:b w:val="0"/>
          <w:sz w:val="24"/>
          <w:szCs w:val="24"/>
          <w:lang w:eastAsia="tr-TR"/>
        </w:rPr>
        <w:t xml:space="preserve"> hükümleri ve </w:t>
      </w:r>
      <w:r w:rsidR="003B2AE7" w:rsidRPr="00F8474A">
        <w:rPr>
          <w:b w:val="0"/>
          <w:sz w:val="24"/>
          <w:szCs w:val="24"/>
          <w:lang w:eastAsia="tr-TR"/>
        </w:rPr>
        <w:t>Türk Hava Kurumu</w:t>
      </w:r>
      <w:r w:rsidR="003B2AE7" w:rsidRPr="007F1DDF">
        <w:rPr>
          <w:b w:val="0"/>
          <w:sz w:val="24"/>
          <w:szCs w:val="24"/>
          <w:lang w:eastAsia="tr-TR"/>
        </w:rPr>
        <w:t xml:space="preserve"> Üniversitesi Yabancı Dil Hazırlık Sınıfı </w:t>
      </w:r>
      <w:r w:rsidR="00382A4F" w:rsidRPr="007F1DDF">
        <w:rPr>
          <w:b w:val="0"/>
          <w:sz w:val="24"/>
          <w:szCs w:val="24"/>
          <w:lang w:eastAsia="tr-TR"/>
        </w:rPr>
        <w:t>Eğitim-</w:t>
      </w:r>
      <w:r w:rsidR="003B2AE7" w:rsidRPr="007F1DDF">
        <w:rPr>
          <w:b w:val="0"/>
          <w:sz w:val="24"/>
          <w:szCs w:val="24"/>
          <w:lang w:eastAsia="tr-TR"/>
        </w:rPr>
        <w:t xml:space="preserve">Öğretim ve Sınav Yönetmeliği </w:t>
      </w:r>
      <w:r w:rsidR="00382A4F" w:rsidRPr="007F1DDF">
        <w:rPr>
          <w:b w:val="0"/>
          <w:sz w:val="24"/>
          <w:szCs w:val="24"/>
          <w:lang w:eastAsia="tr-TR"/>
        </w:rPr>
        <w:t>hükümleri ile</w:t>
      </w:r>
      <w:r w:rsidR="003B2AE7" w:rsidRPr="007F1DDF">
        <w:rPr>
          <w:b w:val="0"/>
          <w:sz w:val="24"/>
          <w:szCs w:val="24"/>
          <w:lang w:eastAsia="tr-TR"/>
        </w:rPr>
        <w:t xml:space="preserve"> </w:t>
      </w:r>
      <w:r w:rsidRPr="007F1DDF">
        <w:rPr>
          <w:b w:val="0"/>
          <w:sz w:val="24"/>
          <w:szCs w:val="24"/>
          <w:lang w:eastAsia="tr-TR"/>
        </w:rPr>
        <w:t>Yabancı Dil</w:t>
      </w:r>
      <w:r w:rsidR="000F3323" w:rsidRPr="007F1DDF">
        <w:rPr>
          <w:b w:val="0"/>
          <w:sz w:val="24"/>
          <w:szCs w:val="24"/>
          <w:lang w:eastAsia="tr-TR"/>
        </w:rPr>
        <w:t>ler Bölümü</w:t>
      </w:r>
      <w:r w:rsidRPr="007F1DDF">
        <w:rPr>
          <w:b w:val="0"/>
          <w:sz w:val="24"/>
          <w:szCs w:val="24"/>
          <w:lang w:eastAsia="tr-TR"/>
        </w:rPr>
        <w:t xml:space="preserve"> Başkanlığı önerisi üzerine Senato tarafından alınan kararlar uygulanır.</w:t>
      </w:r>
      <w:r w:rsidR="00442FCA" w:rsidRPr="007F1DDF">
        <w:rPr>
          <w:b w:val="0"/>
          <w:sz w:val="24"/>
          <w:szCs w:val="24"/>
          <w:shd w:val="clear" w:color="auto" w:fill="FFFF00"/>
          <w:lang w:eastAsia="tr-TR"/>
        </w:rPr>
        <w:t xml:space="preserve"> </w:t>
      </w:r>
      <w:proofErr w:type="gramEnd"/>
    </w:p>
    <w:p w:rsidR="00EC1379" w:rsidRPr="007F1DDF" w:rsidRDefault="00EC1379" w:rsidP="00DA4F0D">
      <w:pPr>
        <w:pStyle w:val="2-OrtaBaslk"/>
        <w:ind w:right="-177"/>
        <w:jc w:val="both"/>
        <w:rPr>
          <w:b w:val="0"/>
          <w:sz w:val="24"/>
          <w:szCs w:val="24"/>
          <w:shd w:val="clear" w:color="auto" w:fill="FFFF00"/>
          <w:lang w:eastAsia="tr-TR"/>
        </w:rPr>
      </w:pPr>
    </w:p>
    <w:p w:rsidR="00EC1379" w:rsidRPr="00FB6D38" w:rsidRDefault="00EC1379" w:rsidP="00DA4F0D">
      <w:pPr>
        <w:tabs>
          <w:tab w:val="left" w:pos="566"/>
        </w:tabs>
        <w:spacing w:line="23" w:lineRule="atLeast"/>
        <w:ind w:left="709" w:right="-177"/>
        <w:jc w:val="both"/>
        <w:rPr>
          <w:rFonts w:eastAsia="ヒラギノ明朝 Pro W3"/>
          <w:b/>
          <w:lang w:eastAsia="en-US"/>
        </w:rPr>
      </w:pPr>
      <w:r w:rsidRPr="00FB6D38">
        <w:rPr>
          <w:rFonts w:eastAsia="ヒラギノ明朝 Pro W3"/>
          <w:b/>
          <w:lang w:eastAsia="en-US"/>
        </w:rPr>
        <w:t>Yürürlükten Kaldırma</w:t>
      </w:r>
    </w:p>
    <w:p w:rsidR="00EC1379" w:rsidRPr="007F1DDF" w:rsidRDefault="00DB407C" w:rsidP="00DA4F0D">
      <w:pPr>
        <w:tabs>
          <w:tab w:val="left" w:pos="566"/>
        </w:tabs>
        <w:spacing w:line="23" w:lineRule="atLeast"/>
        <w:ind w:right="-177"/>
        <w:jc w:val="both"/>
        <w:rPr>
          <w:rFonts w:eastAsia="ヒラギノ明朝 Pro W3"/>
          <w:lang w:eastAsia="en-US"/>
        </w:rPr>
      </w:pPr>
      <w:r w:rsidRPr="00FB6D38">
        <w:rPr>
          <w:rFonts w:eastAsia="ヒラギノ明朝 Pro W3"/>
          <w:b/>
          <w:lang w:eastAsia="en-US"/>
        </w:rPr>
        <w:tab/>
      </w:r>
      <w:r w:rsidRPr="00FB6D38">
        <w:rPr>
          <w:rFonts w:eastAsia="ヒラギノ明朝 Pro W3"/>
          <w:b/>
          <w:lang w:eastAsia="en-US"/>
        </w:rPr>
        <w:tab/>
        <w:t>MADDE 25</w:t>
      </w:r>
      <w:r w:rsidR="00EC1379" w:rsidRPr="00FB6D38">
        <w:rPr>
          <w:rFonts w:eastAsia="ヒラギノ明朝 Pro W3"/>
          <w:b/>
          <w:lang w:eastAsia="en-US"/>
        </w:rPr>
        <w:t xml:space="preserve"> – </w:t>
      </w:r>
      <w:r w:rsidR="00EC1379" w:rsidRPr="00FB6D38">
        <w:rPr>
          <w:rFonts w:eastAsia="ヒラギノ明朝 Pro W3"/>
          <w:lang w:eastAsia="en-US"/>
        </w:rPr>
        <w:t xml:space="preserve">(1) Üniversitemiz </w:t>
      </w:r>
      <w:r w:rsidR="00A00409" w:rsidRPr="00FB6D38">
        <w:rPr>
          <w:rFonts w:eastAsia="ヒラギノ明朝 Pro W3"/>
          <w:lang w:eastAsia="en-US"/>
        </w:rPr>
        <w:t>Mütevelli Heyetinin 29.03.2018</w:t>
      </w:r>
      <w:r w:rsidR="00EC1379" w:rsidRPr="00FB6D38">
        <w:rPr>
          <w:rFonts w:eastAsia="ヒラギノ明朝 Pro W3"/>
          <w:lang w:eastAsia="en-US"/>
        </w:rPr>
        <w:t xml:space="preserve"> tarih</w:t>
      </w:r>
      <w:r w:rsidR="00E96483" w:rsidRPr="00FB6D38">
        <w:rPr>
          <w:rFonts w:eastAsia="ヒラギノ明朝 Pro W3"/>
          <w:lang w:eastAsia="en-US"/>
        </w:rPr>
        <w:t xml:space="preserve"> ve </w:t>
      </w:r>
      <w:r w:rsidR="00A00409" w:rsidRPr="00FB6D38">
        <w:rPr>
          <w:rFonts w:eastAsia="ヒラギノ明朝 Pro W3"/>
          <w:lang w:eastAsia="en-US"/>
        </w:rPr>
        <w:t>3</w:t>
      </w:r>
      <w:r w:rsidR="00EC1379" w:rsidRPr="00FB6D38">
        <w:rPr>
          <w:rFonts w:eastAsia="ヒラギノ明朝 Pro W3"/>
          <w:lang w:eastAsia="en-US"/>
        </w:rPr>
        <w:t xml:space="preserve"> sayılı kararı ile kabul edilen Türk Hava Kurumu Üniversitesi İngilizce Hazırlık Programı ve Lisans Programlarında Sunulan İngilizce Dersleri Eğitim-Öğretim Esaslarına İlişkin Yönerge, </w:t>
      </w:r>
      <w:r w:rsidR="00A00409" w:rsidRPr="00FB6D38">
        <w:rPr>
          <w:rFonts w:eastAsia="ヒラギノ明朝 Pro W3"/>
          <w:lang w:eastAsia="en-US"/>
        </w:rPr>
        <w:t>adı</w:t>
      </w:r>
      <w:r w:rsidR="00E81008" w:rsidRPr="00FB6D38">
        <w:rPr>
          <w:rFonts w:eastAsia="ヒラギノ明朝 Pro W3"/>
          <w:lang w:eastAsia="en-US"/>
        </w:rPr>
        <w:t>nda</w:t>
      </w:r>
      <w:r w:rsidR="00A00409" w:rsidRPr="00FB6D38">
        <w:rPr>
          <w:rFonts w:eastAsia="ヒラギノ明朝 Pro W3"/>
          <w:lang w:eastAsia="en-US"/>
        </w:rPr>
        <w:t>, 1inci</w:t>
      </w:r>
      <w:r w:rsidR="00B22201" w:rsidRPr="00FB6D38">
        <w:rPr>
          <w:rFonts w:eastAsia="ヒラギノ明朝 Pro W3"/>
          <w:lang w:eastAsia="en-US"/>
        </w:rPr>
        <w:t>,</w:t>
      </w:r>
      <w:r w:rsidR="00A00409" w:rsidRPr="00FB6D38">
        <w:rPr>
          <w:rFonts w:eastAsia="ヒラギノ明朝 Pro W3"/>
          <w:lang w:eastAsia="en-US"/>
        </w:rPr>
        <w:t xml:space="preserve"> </w:t>
      </w:r>
      <w:proofErr w:type="gramStart"/>
      <w:r w:rsidR="00A00409" w:rsidRPr="00FB6D38">
        <w:rPr>
          <w:rFonts w:eastAsia="ヒラギノ明朝 Pro W3"/>
          <w:lang w:eastAsia="en-US"/>
        </w:rPr>
        <w:t>2inci</w:t>
      </w:r>
      <w:r w:rsidR="00B22201" w:rsidRPr="00FB6D38">
        <w:rPr>
          <w:rFonts w:eastAsia="ヒラギノ明朝 Pro W3"/>
          <w:lang w:eastAsia="en-US"/>
        </w:rPr>
        <w:t xml:space="preserve">  6</w:t>
      </w:r>
      <w:proofErr w:type="gramEnd"/>
      <w:r w:rsidR="00B22201" w:rsidRPr="00FB6D38">
        <w:rPr>
          <w:rFonts w:eastAsia="ヒラギノ明朝 Pro W3"/>
          <w:lang w:eastAsia="en-US"/>
        </w:rPr>
        <w:t xml:space="preserve"> </w:t>
      </w:r>
      <w:proofErr w:type="spellStart"/>
      <w:r w:rsidR="00B22201" w:rsidRPr="00FB6D38">
        <w:rPr>
          <w:rFonts w:eastAsia="ヒラギノ明朝 Pro W3"/>
          <w:lang w:eastAsia="en-US"/>
        </w:rPr>
        <w:t>ıncı</w:t>
      </w:r>
      <w:proofErr w:type="spellEnd"/>
      <w:r w:rsidR="00B22201" w:rsidRPr="00FB6D38">
        <w:rPr>
          <w:rFonts w:eastAsia="ヒラギノ明朝 Pro W3"/>
          <w:lang w:eastAsia="en-US"/>
        </w:rPr>
        <w:t xml:space="preserve">, </w:t>
      </w:r>
      <w:r w:rsidR="006E174A" w:rsidRPr="00FB6D38">
        <w:rPr>
          <w:rFonts w:eastAsia="ヒラギノ明朝 Pro W3"/>
          <w:lang w:eastAsia="en-US"/>
        </w:rPr>
        <w:t xml:space="preserve">12 inci, 14 </w:t>
      </w:r>
      <w:r w:rsidR="006E174A" w:rsidRPr="00FB6D38">
        <w:rPr>
          <w:rFonts w:eastAsia="ヒラギノ明朝 Pro W3"/>
          <w:lang w:eastAsia="en-US"/>
        </w:rPr>
        <w:lastRenderedPageBreak/>
        <w:t xml:space="preserve">üncü, </w:t>
      </w:r>
      <w:r w:rsidR="00B22201" w:rsidRPr="00FB6D38">
        <w:rPr>
          <w:rFonts w:eastAsia="ヒラギノ明朝 Pro W3"/>
          <w:lang w:eastAsia="en-US"/>
        </w:rPr>
        <w:t>1</w:t>
      </w:r>
      <w:r w:rsidR="006E174A" w:rsidRPr="00FB6D38">
        <w:rPr>
          <w:rFonts w:eastAsia="ヒラギノ明朝 Pro W3"/>
          <w:lang w:eastAsia="en-US"/>
        </w:rPr>
        <w:t xml:space="preserve">6 </w:t>
      </w:r>
      <w:proofErr w:type="spellStart"/>
      <w:r w:rsidR="006E174A" w:rsidRPr="00FB6D38">
        <w:rPr>
          <w:rFonts w:eastAsia="ヒラギノ明朝 Pro W3"/>
          <w:lang w:eastAsia="en-US"/>
        </w:rPr>
        <w:t>ıncı</w:t>
      </w:r>
      <w:proofErr w:type="spellEnd"/>
      <w:r w:rsidR="00B22201" w:rsidRPr="00FB6D38">
        <w:rPr>
          <w:rFonts w:eastAsia="ヒラギノ明朝 Pro W3"/>
          <w:lang w:eastAsia="en-US"/>
        </w:rPr>
        <w:t xml:space="preserve"> </w:t>
      </w:r>
      <w:r w:rsidR="00E96483" w:rsidRPr="00FB6D38">
        <w:rPr>
          <w:rFonts w:eastAsia="ヒラギノ明朝 Pro W3"/>
          <w:lang w:eastAsia="en-US"/>
        </w:rPr>
        <w:t>maddeler</w:t>
      </w:r>
      <w:r w:rsidR="00E81008" w:rsidRPr="00FB6D38">
        <w:rPr>
          <w:rFonts w:eastAsia="ヒラギノ明朝 Pro W3"/>
          <w:lang w:eastAsia="en-US"/>
        </w:rPr>
        <w:t>in</w:t>
      </w:r>
      <w:r w:rsidR="00E96483" w:rsidRPr="00FB6D38">
        <w:rPr>
          <w:rFonts w:eastAsia="ヒラギノ明朝 Pro W3"/>
          <w:lang w:eastAsia="en-US"/>
        </w:rPr>
        <w:t xml:space="preserve">de </w:t>
      </w:r>
      <w:r w:rsidR="006E174A" w:rsidRPr="00FB6D38">
        <w:rPr>
          <w:rFonts w:eastAsia="ヒラギノ明朝 Pro W3"/>
          <w:lang w:eastAsia="en-US"/>
        </w:rPr>
        <w:t xml:space="preserve"> ve 4üncü ve 5inci bölümler</w:t>
      </w:r>
      <w:r w:rsidR="00E81008" w:rsidRPr="00FB6D38">
        <w:rPr>
          <w:rFonts w:eastAsia="ヒラギノ明朝 Pro W3"/>
          <w:lang w:eastAsia="en-US"/>
        </w:rPr>
        <w:t>in</w:t>
      </w:r>
      <w:r w:rsidR="006E174A" w:rsidRPr="00FB6D38">
        <w:rPr>
          <w:rFonts w:eastAsia="ヒラギノ明朝 Pro W3"/>
          <w:lang w:eastAsia="en-US"/>
        </w:rPr>
        <w:t xml:space="preserve">de </w:t>
      </w:r>
      <w:r w:rsidR="00EC1379" w:rsidRPr="00FB6D38">
        <w:rPr>
          <w:rFonts w:eastAsia="ヒラギノ明朝 Pro W3"/>
          <w:lang w:eastAsia="en-US"/>
        </w:rPr>
        <w:t>değişiklik yapılması nedeni ile yürürlükten kaldırılmıştır</w:t>
      </w:r>
      <w:r w:rsidR="00EC1379" w:rsidRPr="007F1DDF">
        <w:rPr>
          <w:rFonts w:eastAsia="ヒラギノ明朝 Pro W3"/>
          <w:lang w:eastAsia="en-US"/>
        </w:rPr>
        <w:t>.</w:t>
      </w:r>
    </w:p>
    <w:p w:rsidR="00EC1379" w:rsidRPr="007F1DDF" w:rsidRDefault="00EC1379" w:rsidP="00DA4F0D">
      <w:pPr>
        <w:pStyle w:val="2-OrtaBaslk"/>
        <w:ind w:right="-177"/>
        <w:jc w:val="both"/>
        <w:rPr>
          <w:b w:val="0"/>
          <w:sz w:val="24"/>
          <w:szCs w:val="24"/>
          <w:shd w:val="clear" w:color="auto" w:fill="FFFF00"/>
          <w:lang w:eastAsia="tr-TR"/>
        </w:rPr>
      </w:pPr>
    </w:p>
    <w:p w:rsidR="00DD034C" w:rsidRPr="007F1DDF" w:rsidRDefault="003600D7" w:rsidP="00DA4F0D">
      <w:pPr>
        <w:ind w:right="-177"/>
        <w:jc w:val="both"/>
        <w:rPr>
          <w:b/>
        </w:rPr>
      </w:pPr>
      <w:r w:rsidRPr="007F1DDF">
        <w:rPr>
          <w:b/>
        </w:rPr>
        <w:tab/>
      </w:r>
      <w:r w:rsidR="00DD034C" w:rsidRPr="007F1DDF">
        <w:rPr>
          <w:b/>
        </w:rPr>
        <w:t>Yürürlük</w:t>
      </w:r>
    </w:p>
    <w:p w:rsidR="00E4454A" w:rsidRPr="007F1DDF" w:rsidRDefault="003600D7" w:rsidP="00DA4F0D">
      <w:pPr>
        <w:ind w:right="-177"/>
        <w:jc w:val="both"/>
      </w:pPr>
      <w:r w:rsidRPr="007F1DDF">
        <w:rPr>
          <w:b/>
        </w:rPr>
        <w:tab/>
      </w:r>
      <w:r w:rsidR="002E1FF7" w:rsidRPr="007F1DDF">
        <w:rPr>
          <w:b/>
        </w:rPr>
        <w:t xml:space="preserve">MADDE </w:t>
      </w:r>
      <w:r w:rsidR="00DB407C">
        <w:rPr>
          <w:b/>
        </w:rPr>
        <w:t>26</w:t>
      </w:r>
      <w:r w:rsidR="00886637" w:rsidRPr="007F1DDF">
        <w:rPr>
          <w:b/>
        </w:rPr>
        <w:t xml:space="preserve"> </w:t>
      </w:r>
      <w:r w:rsidR="00DD034C" w:rsidRPr="007F1DDF">
        <w:t>(1)</w:t>
      </w:r>
      <w:r w:rsidR="00DD034C" w:rsidRPr="007F1DDF">
        <w:rPr>
          <w:b/>
        </w:rPr>
        <w:t xml:space="preserve"> </w:t>
      </w:r>
      <w:r w:rsidR="004E2E96" w:rsidRPr="004E2E96">
        <w:t>Bu Yönerge, Türk Hava Kurumu Üniversitesi Mütevelli Heyetin onayladığı tarihte yürürlüğe girer.</w:t>
      </w:r>
    </w:p>
    <w:p w:rsidR="00E96483" w:rsidRPr="007F1DDF" w:rsidRDefault="00B9758A" w:rsidP="00DA4F0D">
      <w:pPr>
        <w:tabs>
          <w:tab w:val="left" w:pos="567"/>
        </w:tabs>
        <w:ind w:right="-177"/>
        <w:jc w:val="both"/>
        <w:rPr>
          <w:b/>
        </w:rPr>
      </w:pPr>
      <w:r w:rsidRPr="007F1DDF">
        <w:rPr>
          <w:b/>
        </w:rPr>
        <w:tab/>
      </w:r>
      <w:r w:rsidR="003600D7" w:rsidRPr="007F1DDF">
        <w:rPr>
          <w:b/>
        </w:rPr>
        <w:t xml:space="preserve"> </w:t>
      </w:r>
    </w:p>
    <w:p w:rsidR="00DD034C" w:rsidRPr="007F1DDF" w:rsidRDefault="00E96483" w:rsidP="00DA4F0D">
      <w:pPr>
        <w:tabs>
          <w:tab w:val="left" w:pos="567"/>
        </w:tabs>
        <w:ind w:right="-177"/>
        <w:jc w:val="both"/>
        <w:rPr>
          <w:b/>
        </w:rPr>
      </w:pPr>
      <w:r w:rsidRPr="007F1DDF">
        <w:rPr>
          <w:b/>
        </w:rPr>
        <w:tab/>
      </w:r>
      <w:r w:rsidR="003600D7" w:rsidRPr="007F1DDF">
        <w:rPr>
          <w:b/>
        </w:rPr>
        <w:t xml:space="preserve"> </w:t>
      </w:r>
      <w:r w:rsidR="00DD034C" w:rsidRPr="007F1DDF">
        <w:rPr>
          <w:b/>
        </w:rPr>
        <w:t>Yürütme</w:t>
      </w:r>
    </w:p>
    <w:p w:rsidR="00DD034C" w:rsidRPr="007F1DDF" w:rsidRDefault="002E1FF7" w:rsidP="00DA4F0D">
      <w:pPr>
        <w:ind w:right="-177" w:firstLine="540"/>
        <w:jc w:val="both"/>
      </w:pPr>
      <w:r w:rsidRPr="007F1DDF">
        <w:rPr>
          <w:b/>
        </w:rPr>
        <w:tab/>
        <w:t xml:space="preserve">MADDE </w:t>
      </w:r>
      <w:r w:rsidR="00DB407C">
        <w:rPr>
          <w:b/>
        </w:rPr>
        <w:t>27</w:t>
      </w:r>
      <w:r w:rsidR="00DD034C" w:rsidRPr="007F1DDF">
        <w:rPr>
          <w:b/>
        </w:rPr>
        <w:t>-</w:t>
      </w:r>
      <w:r w:rsidR="00886637" w:rsidRPr="007F1DDF">
        <w:rPr>
          <w:b/>
        </w:rPr>
        <w:t xml:space="preserve"> </w:t>
      </w:r>
      <w:r w:rsidR="00DD034C" w:rsidRPr="007F1DDF">
        <w:t>(1) Bu yönerge hükümlerini T</w:t>
      </w:r>
      <w:r w:rsidR="005B37C9" w:rsidRPr="007F1DDF">
        <w:t xml:space="preserve">ürk Hava Kurumu </w:t>
      </w:r>
      <w:r w:rsidR="00DD034C" w:rsidRPr="007F1DDF">
        <w:t>Üniversitesi Rektörü yürütür.</w:t>
      </w:r>
    </w:p>
    <w:p w:rsidR="00EE50D8" w:rsidRPr="007F1DDF" w:rsidRDefault="00EE50D8" w:rsidP="00DA4F0D">
      <w:pPr>
        <w:ind w:right="-177" w:firstLine="540"/>
        <w:jc w:val="both"/>
      </w:pPr>
    </w:p>
    <w:p w:rsidR="00EE50D8" w:rsidRPr="007F1DDF" w:rsidRDefault="00EE50D8" w:rsidP="00DA4F0D">
      <w:pPr>
        <w:ind w:right="-177" w:firstLine="540"/>
        <w:jc w:val="both"/>
      </w:pPr>
    </w:p>
    <w:p w:rsidR="00EE50D8" w:rsidRPr="007F1DDF" w:rsidRDefault="00EE50D8" w:rsidP="00DA4F0D">
      <w:pPr>
        <w:ind w:right="-177" w:firstLine="540"/>
        <w:jc w:val="both"/>
      </w:pPr>
    </w:p>
    <w:p w:rsidR="004728BD" w:rsidRDefault="004728BD" w:rsidP="00DA4F0D">
      <w:pPr>
        <w:ind w:right="-177"/>
        <w:jc w:val="both"/>
      </w:pPr>
    </w:p>
    <w:p w:rsidR="004728BD" w:rsidRPr="007F1DDF" w:rsidRDefault="004728BD" w:rsidP="00DA4F0D">
      <w:pPr>
        <w:ind w:right="-177"/>
        <w:jc w:val="both"/>
      </w:pPr>
    </w:p>
    <w:sectPr w:rsidR="004728BD" w:rsidRPr="007F1DDF" w:rsidSect="00741AA7">
      <w:footerReference w:type="even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715" w:rsidRDefault="00667715">
      <w:r>
        <w:separator/>
      </w:r>
    </w:p>
  </w:endnote>
  <w:endnote w:type="continuationSeparator" w:id="0">
    <w:p w:rsidR="00667715" w:rsidRDefault="0066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A5" w:rsidRDefault="00537EA5" w:rsidP="007A541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37EA5" w:rsidRDefault="00537EA5" w:rsidP="007A541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8A" w:rsidRPr="0042778A" w:rsidRDefault="0042778A" w:rsidP="0042778A">
    <w:pPr>
      <w:pStyle w:val="AltBilgi0"/>
      <w:tabs>
        <w:tab w:val="clear" w:pos="4536"/>
        <w:tab w:val="clear" w:pos="9072"/>
        <w:tab w:val="left" w:pos="6750"/>
      </w:tabs>
      <w:rPr>
        <w:rFonts w:eastAsia="Batang"/>
        <w:sz w:val="20"/>
        <w:szCs w:val="20"/>
      </w:rPr>
    </w:pPr>
    <w:r>
      <w:t xml:space="preserve">                                                                      </w:t>
    </w:r>
    <w:sdt>
      <w:sdtPr>
        <w:id w:val="-151699311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64D2">
          <w:rPr>
            <w:noProof/>
          </w:rPr>
          <w:t>1</w:t>
        </w:r>
        <w:r>
          <w:fldChar w:fldCharType="end"/>
        </w:r>
      </w:sdtContent>
    </w:sdt>
    <w:r>
      <w:tab/>
    </w:r>
    <w:r w:rsidRPr="0042778A">
      <w:rPr>
        <w:rFonts w:eastAsia="Batang"/>
        <w:sz w:val="20"/>
        <w:szCs w:val="20"/>
      </w:rPr>
      <w:t xml:space="preserve">Mütevelli K.T./No: </w:t>
    </w:r>
    <w:r w:rsidR="005E64D2">
      <w:rPr>
        <w:rFonts w:eastAsia="Batang"/>
        <w:sz w:val="20"/>
        <w:szCs w:val="20"/>
      </w:rPr>
      <w:t>14.09.2022/10</w:t>
    </w:r>
  </w:p>
  <w:p w:rsidR="0042778A" w:rsidRDefault="0042778A" w:rsidP="0042778A">
    <w:pPr>
      <w:pStyle w:val="AltBilgi0"/>
      <w:tabs>
        <w:tab w:val="center" w:pos="4873"/>
        <w:tab w:val="left" w:pos="7800"/>
      </w:tabs>
    </w:pPr>
  </w:p>
  <w:p w:rsidR="00537EA5" w:rsidRDefault="00537EA5" w:rsidP="007A5413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715" w:rsidRDefault="00667715">
      <w:r>
        <w:separator/>
      </w:r>
    </w:p>
  </w:footnote>
  <w:footnote w:type="continuationSeparator" w:id="0">
    <w:p w:rsidR="00667715" w:rsidRDefault="0066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C74"/>
    <w:multiLevelType w:val="hybridMultilevel"/>
    <w:tmpl w:val="EC6464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4BAE"/>
    <w:multiLevelType w:val="hybridMultilevel"/>
    <w:tmpl w:val="D1146E4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1E37"/>
    <w:multiLevelType w:val="hybridMultilevel"/>
    <w:tmpl w:val="42E0DB7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23D4077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337D5"/>
    <w:multiLevelType w:val="hybridMultilevel"/>
    <w:tmpl w:val="49E691C6"/>
    <w:lvl w:ilvl="0" w:tplc="BF887F8A">
      <w:start w:val="1"/>
      <w:numFmt w:val="lowerLetter"/>
      <w:lvlText w:val="ç)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D78B9"/>
    <w:multiLevelType w:val="hybridMultilevel"/>
    <w:tmpl w:val="669CC4C4"/>
    <w:lvl w:ilvl="0" w:tplc="F244C85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78B164A"/>
    <w:multiLevelType w:val="hybridMultilevel"/>
    <w:tmpl w:val="EBC69164"/>
    <w:lvl w:ilvl="0" w:tplc="1A12A49E">
      <w:start w:val="1"/>
      <w:numFmt w:val="lowerLetter"/>
      <w:lvlText w:val="(%1)"/>
      <w:lvlJc w:val="left"/>
      <w:pPr>
        <w:ind w:left="562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DF4948"/>
    <w:multiLevelType w:val="hybridMultilevel"/>
    <w:tmpl w:val="C32ABA4E"/>
    <w:lvl w:ilvl="0" w:tplc="EF62098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7747A72"/>
    <w:multiLevelType w:val="hybridMultilevel"/>
    <w:tmpl w:val="328E038E"/>
    <w:lvl w:ilvl="0" w:tplc="F080F12E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A7CDE"/>
    <w:multiLevelType w:val="hybridMultilevel"/>
    <w:tmpl w:val="59D6E2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E13A4"/>
    <w:multiLevelType w:val="hybridMultilevel"/>
    <w:tmpl w:val="7B04D91C"/>
    <w:lvl w:ilvl="0" w:tplc="76726914">
      <w:start w:val="1"/>
      <w:numFmt w:val="lowerLetter"/>
      <w:lvlText w:val="%1)"/>
      <w:lvlJc w:val="left"/>
      <w:pPr>
        <w:ind w:left="975" w:hanging="97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6A34B4"/>
    <w:multiLevelType w:val="hybridMultilevel"/>
    <w:tmpl w:val="BEB4B524"/>
    <w:lvl w:ilvl="0" w:tplc="31F6FDD0">
      <w:start w:val="1"/>
      <w:numFmt w:val="lowerLetter"/>
      <w:lvlText w:val="(%1)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F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1" w15:restartNumberingAfterBreak="0">
    <w:nsid w:val="7CB04C75"/>
    <w:multiLevelType w:val="hybridMultilevel"/>
    <w:tmpl w:val="2CC285E8"/>
    <w:lvl w:ilvl="0" w:tplc="A50C2CA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84D05"/>
    <w:multiLevelType w:val="hybridMultilevel"/>
    <w:tmpl w:val="8B8AA212"/>
    <w:lvl w:ilvl="0" w:tplc="C73864B2">
      <w:start w:val="8"/>
      <w:numFmt w:val="lowerLetter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7FEE227E"/>
    <w:multiLevelType w:val="hybridMultilevel"/>
    <w:tmpl w:val="3B78EC96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1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4C"/>
    <w:rsid w:val="00002527"/>
    <w:rsid w:val="0000377B"/>
    <w:rsid w:val="0000499C"/>
    <w:rsid w:val="00010DA9"/>
    <w:rsid w:val="00011C3F"/>
    <w:rsid w:val="0002205F"/>
    <w:rsid w:val="00035C13"/>
    <w:rsid w:val="0003728F"/>
    <w:rsid w:val="00045007"/>
    <w:rsid w:val="00060B20"/>
    <w:rsid w:val="000661A8"/>
    <w:rsid w:val="000859C1"/>
    <w:rsid w:val="00087B67"/>
    <w:rsid w:val="000911D2"/>
    <w:rsid w:val="00095B63"/>
    <w:rsid w:val="000B1579"/>
    <w:rsid w:val="000B565E"/>
    <w:rsid w:val="000B683D"/>
    <w:rsid w:val="000B71F6"/>
    <w:rsid w:val="000F03DC"/>
    <w:rsid w:val="000F1F6B"/>
    <w:rsid w:val="000F3323"/>
    <w:rsid w:val="000F79CB"/>
    <w:rsid w:val="000F7DE8"/>
    <w:rsid w:val="000F7F24"/>
    <w:rsid w:val="001074C4"/>
    <w:rsid w:val="001146DE"/>
    <w:rsid w:val="001152EF"/>
    <w:rsid w:val="00115DBB"/>
    <w:rsid w:val="00122978"/>
    <w:rsid w:val="00122C39"/>
    <w:rsid w:val="001259A7"/>
    <w:rsid w:val="001273FF"/>
    <w:rsid w:val="00131315"/>
    <w:rsid w:val="00131382"/>
    <w:rsid w:val="00136EA0"/>
    <w:rsid w:val="0014324F"/>
    <w:rsid w:val="0014377F"/>
    <w:rsid w:val="00151A4C"/>
    <w:rsid w:val="00153318"/>
    <w:rsid w:val="0015572A"/>
    <w:rsid w:val="001664A0"/>
    <w:rsid w:val="00176E66"/>
    <w:rsid w:val="001833EF"/>
    <w:rsid w:val="00184A75"/>
    <w:rsid w:val="00185DC9"/>
    <w:rsid w:val="001A0078"/>
    <w:rsid w:val="001A3A90"/>
    <w:rsid w:val="001C6879"/>
    <w:rsid w:val="001C6DDB"/>
    <w:rsid w:val="001D1084"/>
    <w:rsid w:val="001D41DD"/>
    <w:rsid w:val="001E1170"/>
    <w:rsid w:val="001E747D"/>
    <w:rsid w:val="001F0222"/>
    <w:rsid w:val="001F1C96"/>
    <w:rsid w:val="001F43DA"/>
    <w:rsid w:val="001F592C"/>
    <w:rsid w:val="00211AB0"/>
    <w:rsid w:val="002130A4"/>
    <w:rsid w:val="00227F63"/>
    <w:rsid w:val="00231EF0"/>
    <w:rsid w:val="002327C2"/>
    <w:rsid w:val="00232F9E"/>
    <w:rsid w:val="002338F0"/>
    <w:rsid w:val="00233C36"/>
    <w:rsid w:val="00243F20"/>
    <w:rsid w:val="00247C2F"/>
    <w:rsid w:val="00250825"/>
    <w:rsid w:val="0026369C"/>
    <w:rsid w:val="0026747C"/>
    <w:rsid w:val="00267E4D"/>
    <w:rsid w:val="0027376F"/>
    <w:rsid w:val="00274AAB"/>
    <w:rsid w:val="00280C90"/>
    <w:rsid w:val="00281EA9"/>
    <w:rsid w:val="00285A33"/>
    <w:rsid w:val="002B05DF"/>
    <w:rsid w:val="002B2ED9"/>
    <w:rsid w:val="002C355C"/>
    <w:rsid w:val="002C476D"/>
    <w:rsid w:val="002C6433"/>
    <w:rsid w:val="002C68FF"/>
    <w:rsid w:val="002C75D5"/>
    <w:rsid w:val="002D356B"/>
    <w:rsid w:val="002E1FF7"/>
    <w:rsid w:val="002E6EC2"/>
    <w:rsid w:val="002F38B1"/>
    <w:rsid w:val="0030257E"/>
    <w:rsid w:val="00312B6F"/>
    <w:rsid w:val="003160CD"/>
    <w:rsid w:val="00320996"/>
    <w:rsid w:val="00322114"/>
    <w:rsid w:val="003226E3"/>
    <w:rsid w:val="00322C57"/>
    <w:rsid w:val="003319B8"/>
    <w:rsid w:val="0033474F"/>
    <w:rsid w:val="003438DD"/>
    <w:rsid w:val="00344E47"/>
    <w:rsid w:val="00357B11"/>
    <w:rsid w:val="003600D7"/>
    <w:rsid w:val="00362442"/>
    <w:rsid w:val="00373509"/>
    <w:rsid w:val="00374E89"/>
    <w:rsid w:val="00382A4F"/>
    <w:rsid w:val="00394AC7"/>
    <w:rsid w:val="003A0422"/>
    <w:rsid w:val="003A20D4"/>
    <w:rsid w:val="003A6D5D"/>
    <w:rsid w:val="003B2AE7"/>
    <w:rsid w:val="003B5581"/>
    <w:rsid w:val="003B7C42"/>
    <w:rsid w:val="003C1F27"/>
    <w:rsid w:val="003C705A"/>
    <w:rsid w:val="003C7239"/>
    <w:rsid w:val="003E06B4"/>
    <w:rsid w:val="003E48A4"/>
    <w:rsid w:val="003E590A"/>
    <w:rsid w:val="003E7437"/>
    <w:rsid w:val="003F6019"/>
    <w:rsid w:val="003F6AF7"/>
    <w:rsid w:val="003F769C"/>
    <w:rsid w:val="00400E1D"/>
    <w:rsid w:val="004030B2"/>
    <w:rsid w:val="00403E75"/>
    <w:rsid w:val="004045BB"/>
    <w:rsid w:val="00404E8D"/>
    <w:rsid w:val="00405737"/>
    <w:rsid w:val="00407FF8"/>
    <w:rsid w:val="004142E5"/>
    <w:rsid w:val="00425212"/>
    <w:rsid w:val="0042778A"/>
    <w:rsid w:val="0043328A"/>
    <w:rsid w:val="00442FCA"/>
    <w:rsid w:val="00443CDE"/>
    <w:rsid w:val="0044435A"/>
    <w:rsid w:val="00453397"/>
    <w:rsid w:val="004539AF"/>
    <w:rsid w:val="00457440"/>
    <w:rsid w:val="004611F2"/>
    <w:rsid w:val="00464618"/>
    <w:rsid w:val="00467513"/>
    <w:rsid w:val="004702EE"/>
    <w:rsid w:val="00471FDE"/>
    <w:rsid w:val="00472702"/>
    <w:rsid w:val="004728BD"/>
    <w:rsid w:val="00474256"/>
    <w:rsid w:val="00477525"/>
    <w:rsid w:val="004830B9"/>
    <w:rsid w:val="004902C8"/>
    <w:rsid w:val="004A3EC2"/>
    <w:rsid w:val="004B3940"/>
    <w:rsid w:val="004C0E80"/>
    <w:rsid w:val="004C37A8"/>
    <w:rsid w:val="004D5D31"/>
    <w:rsid w:val="004D6122"/>
    <w:rsid w:val="004D7661"/>
    <w:rsid w:val="004E2E96"/>
    <w:rsid w:val="004E35FE"/>
    <w:rsid w:val="004E4B4B"/>
    <w:rsid w:val="00513E35"/>
    <w:rsid w:val="005167EA"/>
    <w:rsid w:val="00520425"/>
    <w:rsid w:val="0052609A"/>
    <w:rsid w:val="00530895"/>
    <w:rsid w:val="00531B4F"/>
    <w:rsid w:val="005361F9"/>
    <w:rsid w:val="00537EA5"/>
    <w:rsid w:val="00543CA6"/>
    <w:rsid w:val="005448F5"/>
    <w:rsid w:val="00551A9F"/>
    <w:rsid w:val="0055471A"/>
    <w:rsid w:val="00554EFF"/>
    <w:rsid w:val="00557230"/>
    <w:rsid w:val="0056108C"/>
    <w:rsid w:val="00561C0A"/>
    <w:rsid w:val="00573E39"/>
    <w:rsid w:val="005B264A"/>
    <w:rsid w:val="005B37C9"/>
    <w:rsid w:val="005B738C"/>
    <w:rsid w:val="005B751D"/>
    <w:rsid w:val="005D1610"/>
    <w:rsid w:val="005D1678"/>
    <w:rsid w:val="005D1E6A"/>
    <w:rsid w:val="005D4010"/>
    <w:rsid w:val="005D52AA"/>
    <w:rsid w:val="005E2E1C"/>
    <w:rsid w:val="005E64D2"/>
    <w:rsid w:val="005F207E"/>
    <w:rsid w:val="006028C5"/>
    <w:rsid w:val="00603095"/>
    <w:rsid w:val="00612EB5"/>
    <w:rsid w:val="00621BF8"/>
    <w:rsid w:val="00623019"/>
    <w:rsid w:val="00627ADE"/>
    <w:rsid w:val="0063556A"/>
    <w:rsid w:val="00635D50"/>
    <w:rsid w:val="00650523"/>
    <w:rsid w:val="0065475E"/>
    <w:rsid w:val="0065516A"/>
    <w:rsid w:val="006561AD"/>
    <w:rsid w:val="00662A09"/>
    <w:rsid w:val="00667715"/>
    <w:rsid w:val="006731CD"/>
    <w:rsid w:val="00696970"/>
    <w:rsid w:val="006B0446"/>
    <w:rsid w:val="006B131D"/>
    <w:rsid w:val="006B4BFB"/>
    <w:rsid w:val="006C1ADF"/>
    <w:rsid w:val="006D230C"/>
    <w:rsid w:val="006E1037"/>
    <w:rsid w:val="006E174A"/>
    <w:rsid w:val="006E491F"/>
    <w:rsid w:val="006F32A6"/>
    <w:rsid w:val="006F5228"/>
    <w:rsid w:val="00702023"/>
    <w:rsid w:val="00714FD1"/>
    <w:rsid w:val="00720EDA"/>
    <w:rsid w:val="00721D0E"/>
    <w:rsid w:val="007226FB"/>
    <w:rsid w:val="00725D17"/>
    <w:rsid w:val="00740BB5"/>
    <w:rsid w:val="00741AA7"/>
    <w:rsid w:val="00765B97"/>
    <w:rsid w:val="007864BB"/>
    <w:rsid w:val="007868DB"/>
    <w:rsid w:val="0079585F"/>
    <w:rsid w:val="0079646A"/>
    <w:rsid w:val="007A2B48"/>
    <w:rsid w:val="007A5413"/>
    <w:rsid w:val="007C0373"/>
    <w:rsid w:val="007C3C95"/>
    <w:rsid w:val="007D08E1"/>
    <w:rsid w:val="007D0BF8"/>
    <w:rsid w:val="007D0E6F"/>
    <w:rsid w:val="007D1B15"/>
    <w:rsid w:val="007E60FB"/>
    <w:rsid w:val="007E72B2"/>
    <w:rsid w:val="007F1DDF"/>
    <w:rsid w:val="007F20ED"/>
    <w:rsid w:val="0080214C"/>
    <w:rsid w:val="00807348"/>
    <w:rsid w:val="00812B3B"/>
    <w:rsid w:val="008174CC"/>
    <w:rsid w:val="00822774"/>
    <w:rsid w:val="00830A9C"/>
    <w:rsid w:val="00832EE5"/>
    <w:rsid w:val="008464B0"/>
    <w:rsid w:val="00851F76"/>
    <w:rsid w:val="008529DE"/>
    <w:rsid w:val="00856C19"/>
    <w:rsid w:val="00856F9D"/>
    <w:rsid w:val="0088059C"/>
    <w:rsid w:val="00881EA0"/>
    <w:rsid w:val="00885230"/>
    <w:rsid w:val="00886637"/>
    <w:rsid w:val="00890128"/>
    <w:rsid w:val="00890671"/>
    <w:rsid w:val="008907F4"/>
    <w:rsid w:val="00894622"/>
    <w:rsid w:val="008960C3"/>
    <w:rsid w:val="00896B1B"/>
    <w:rsid w:val="008A1CEC"/>
    <w:rsid w:val="008C2725"/>
    <w:rsid w:val="008C5845"/>
    <w:rsid w:val="008C63C6"/>
    <w:rsid w:val="008D49B9"/>
    <w:rsid w:val="008E18CE"/>
    <w:rsid w:val="008F3060"/>
    <w:rsid w:val="008F58A8"/>
    <w:rsid w:val="009014AE"/>
    <w:rsid w:val="00901898"/>
    <w:rsid w:val="00904BE0"/>
    <w:rsid w:val="00922BD2"/>
    <w:rsid w:val="009230BD"/>
    <w:rsid w:val="00924A50"/>
    <w:rsid w:val="0093323E"/>
    <w:rsid w:val="00937D3C"/>
    <w:rsid w:val="009413DA"/>
    <w:rsid w:val="0094415F"/>
    <w:rsid w:val="009456D8"/>
    <w:rsid w:val="0095266E"/>
    <w:rsid w:val="00956DED"/>
    <w:rsid w:val="0096067D"/>
    <w:rsid w:val="00962D00"/>
    <w:rsid w:val="009714E5"/>
    <w:rsid w:val="00974F43"/>
    <w:rsid w:val="00976FB5"/>
    <w:rsid w:val="00980052"/>
    <w:rsid w:val="0098288E"/>
    <w:rsid w:val="00983D5E"/>
    <w:rsid w:val="00986204"/>
    <w:rsid w:val="00997F49"/>
    <w:rsid w:val="009B7833"/>
    <w:rsid w:val="009C6933"/>
    <w:rsid w:val="009D49D7"/>
    <w:rsid w:val="009D6523"/>
    <w:rsid w:val="009E4A63"/>
    <w:rsid w:val="00A00160"/>
    <w:rsid w:val="00A00409"/>
    <w:rsid w:val="00A02568"/>
    <w:rsid w:val="00A03DE5"/>
    <w:rsid w:val="00A11DCA"/>
    <w:rsid w:val="00A16406"/>
    <w:rsid w:val="00A22652"/>
    <w:rsid w:val="00A22B0B"/>
    <w:rsid w:val="00A30892"/>
    <w:rsid w:val="00A47276"/>
    <w:rsid w:val="00A50038"/>
    <w:rsid w:val="00A52E68"/>
    <w:rsid w:val="00A63F9E"/>
    <w:rsid w:val="00A7257C"/>
    <w:rsid w:val="00AA3F67"/>
    <w:rsid w:val="00AB3898"/>
    <w:rsid w:val="00AC20DA"/>
    <w:rsid w:val="00AC5EB3"/>
    <w:rsid w:val="00AD22BD"/>
    <w:rsid w:val="00AD3736"/>
    <w:rsid w:val="00AD6009"/>
    <w:rsid w:val="00AD7431"/>
    <w:rsid w:val="00AD7F3F"/>
    <w:rsid w:val="00AE5DE8"/>
    <w:rsid w:val="00AF0227"/>
    <w:rsid w:val="00B060E9"/>
    <w:rsid w:val="00B10E05"/>
    <w:rsid w:val="00B13800"/>
    <w:rsid w:val="00B17028"/>
    <w:rsid w:val="00B22201"/>
    <w:rsid w:val="00B30FB6"/>
    <w:rsid w:val="00B31386"/>
    <w:rsid w:val="00B421B4"/>
    <w:rsid w:val="00B423F2"/>
    <w:rsid w:val="00B54859"/>
    <w:rsid w:val="00B80CEF"/>
    <w:rsid w:val="00B8139A"/>
    <w:rsid w:val="00B9758A"/>
    <w:rsid w:val="00B979A1"/>
    <w:rsid w:val="00BA3A7E"/>
    <w:rsid w:val="00BA7058"/>
    <w:rsid w:val="00BA76A0"/>
    <w:rsid w:val="00BB0410"/>
    <w:rsid w:val="00BB5594"/>
    <w:rsid w:val="00BB593D"/>
    <w:rsid w:val="00BB5E69"/>
    <w:rsid w:val="00BB76DA"/>
    <w:rsid w:val="00BC2C29"/>
    <w:rsid w:val="00BC323C"/>
    <w:rsid w:val="00BD2914"/>
    <w:rsid w:val="00BD613F"/>
    <w:rsid w:val="00C01987"/>
    <w:rsid w:val="00C15FC0"/>
    <w:rsid w:val="00C226A1"/>
    <w:rsid w:val="00C248BC"/>
    <w:rsid w:val="00C2529B"/>
    <w:rsid w:val="00C36974"/>
    <w:rsid w:val="00C4177E"/>
    <w:rsid w:val="00C4696C"/>
    <w:rsid w:val="00C54B93"/>
    <w:rsid w:val="00C5774A"/>
    <w:rsid w:val="00C659ED"/>
    <w:rsid w:val="00C74BD5"/>
    <w:rsid w:val="00C75931"/>
    <w:rsid w:val="00C8490A"/>
    <w:rsid w:val="00C86C01"/>
    <w:rsid w:val="00C86E28"/>
    <w:rsid w:val="00C901F8"/>
    <w:rsid w:val="00C927E1"/>
    <w:rsid w:val="00C936CE"/>
    <w:rsid w:val="00C94CED"/>
    <w:rsid w:val="00CB1FDE"/>
    <w:rsid w:val="00CB5980"/>
    <w:rsid w:val="00CD1219"/>
    <w:rsid w:val="00CD6DA5"/>
    <w:rsid w:val="00CE398E"/>
    <w:rsid w:val="00CE772E"/>
    <w:rsid w:val="00CF2E68"/>
    <w:rsid w:val="00D014E7"/>
    <w:rsid w:val="00D01708"/>
    <w:rsid w:val="00D023DD"/>
    <w:rsid w:val="00D15EFF"/>
    <w:rsid w:val="00D21644"/>
    <w:rsid w:val="00D236BC"/>
    <w:rsid w:val="00D23F49"/>
    <w:rsid w:val="00D253CA"/>
    <w:rsid w:val="00D26F98"/>
    <w:rsid w:val="00D30CD5"/>
    <w:rsid w:val="00D32473"/>
    <w:rsid w:val="00D35198"/>
    <w:rsid w:val="00D40CE0"/>
    <w:rsid w:val="00D50F16"/>
    <w:rsid w:val="00D63355"/>
    <w:rsid w:val="00D63AA3"/>
    <w:rsid w:val="00D659F0"/>
    <w:rsid w:val="00D72DD5"/>
    <w:rsid w:val="00D741C5"/>
    <w:rsid w:val="00D84314"/>
    <w:rsid w:val="00DA2882"/>
    <w:rsid w:val="00DA29B4"/>
    <w:rsid w:val="00DA3FD4"/>
    <w:rsid w:val="00DA4F0D"/>
    <w:rsid w:val="00DA50A0"/>
    <w:rsid w:val="00DA706F"/>
    <w:rsid w:val="00DA7A4E"/>
    <w:rsid w:val="00DB118A"/>
    <w:rsid w:val="00DB2E7B"/>
    <w:rsid w:val="00DB407C"/>
    <w:rsid w:val="00DC1800"/>
    <w:rsid w:val="00DD00B6"/>
    <w:rsid w:val="00DD034C"/>
    <w:rsid w:val="00DE206D"/>
    <w:rsid w:val="00DE42BD"/>
    <w:rsid w:val="00DE5096"/>
    <w:rsid w:val="00DE5E93"/>
    <w:rsid w:val="00DE67FE"/>
    <w:rsid w:val="00DF4EB6"/>
    <w:rsid w:val="00DF5C08"/>
    <w:rsid w:val="00DF6631"/>
    <w:rsid w:val="00DF7327"/>
    <w:rsid w:val="00E00A86"/>
    <w:rsid w:val="00E04630"/>
    <w:rsid w:val="00E07414"/>
    <w:rsid w:val="00E12433"/>
    <w:rsid w:val="00E14EE4"/>
    <w:rsid w:val="00E15C87"/>
    <w:rsid w:val="00E16C23"/>
    <w:rsid w:val="00E174C0"/>
    <w:rsid w:val="00E24BBC"/>
    <w:rsid w:val="00E3149B"/>
    <w:rsid w:val="00E31CEC"/>
    <w:rsid w:val="00E4392E"/>
    <w:rsid w:val="00E4454A"/>
    <w:rsid w:val="00E46CDC"/>
    <w:rsid w:val="00E540E9"/>
    <w:rsid w:val="00E5475D"/>
    <w:rsid w:val="00E67E4D"/>
    <w:rsid w:val="00E750B5"/>
    <w:rsid w:val="00E764CE"/>
    <w:rsid w:val="00E81008"/>
    <w:rsid w:val="00E8121E"/>
    <w:rsid w:val="00E81679"/>
    <w:rsid w:val="00E96483"/>
    <w:rsid w:val="00E97C73"/>
    <w:rsid w:val="00E97E18"/>
    <w:rsid w:val="00EA7FB8"/>
    <w:rsid w:val="00EC07DE"/>
    <w:rsid w:val="00EC1379"/>
    <w:rsid w:val="00EC17F5"/>
    <w:rsid w:val="00EC21CA"/>
    <w:rsid w:val="00ED20AF"/>
    <w:rsid w:val="00EE3861"/>
    <w:rsid w:val="00EE50D8"/>
    <w:rsid w:val="00EE7194"/>
    <w:rsid w:val="00EF5A73"/>
    <w:rsid w:val="00EF6C88"/>
    <w:rsid w:val="00F14D83"/>
    <w:rsid w:val="00F16BF0"/>
    <w:rsid w:val="00F172F8"/>
    <w:rsid w:val="00F3456B"/>
    <w:rsid w:val="00F54E18"/>
    <w:rsid w:val="00F56336"/>
    <w:rsid w:val="00F64CA0"/>
    <w:rsid w:val="00F65999"/>
    <w:rsid w:val="00F65BAE"/>
    <w:rsid w:val="00F66C12"/>
    <w:rsid w:val="00F744A6"/>
    <w:rsid w:val="00F77D1C"/>
    <w:rsid w:val="00F806A3"/>
    <w:rsid w:val="00F80E39"/>
    <w:rsid w:val="00F8474A"/>
    <w:rsid w:val="00F90DFD"/>
    <w:rsid w:val="00FB55B9"/>
    <w:rsid w:val="00FB6D38"/>
    <w:rsid w:val="00FB75B7"/>
    <w:rsid w:val="00FC4460"/>
    <w:rsid w:val="00FC662C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79AC"/>
  <w15:chartTrackingRefBased/>
  <w15:docId w15:val="{EF0605E2-8081-4000-BD93-57360A74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4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Char"/>
    <w:rsid w:val="00DD03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034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034C"/>
  </w:style>
  <w:style w:type="paragraph" w:customStyle="1" w:styleId="3-NormalYaz">
    <w:name w:val="3-Normal Yazı"/>
    <w:rsid w:val="00DD034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customStyle="1" w:styleId="2-OrtaBaslk">
    <w:name w:val="2-Orta Baslık"/>
    <w:rsid w:val="00DD034C"/>
    <w:pPr>
      <w:jc w:val="center"/>
    </w:pPr>
    <w:rPr>
      <w:rFonts w:ascii="Times New Roman" w:eastAsia="Times New Roman" w:hAnsi="Times New Roman"/>
      <w:b/>
      <w:sz w:val="19"/>
      <w:lang w:eastAsia="en-US"/>
    </w:rPr>
  </w:style>
  <w:style w:type="paragraph" w:customStyle="1" w:styleId="Default">
    <w:name w:val="Default"/>
    <w:rsid w:val="00403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8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50825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E1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741A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41AA7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27ADE"/>
    <w:pPr>
      <w:ind w:left="720"/>
      <w:contextualSpacing/>
    </w:pPr>
  </w:style>
  <w:style w:type="paragraph" w:styleId="stBilgi0">
    <w:name w:val="header"/>
    <w:basedOn w:val="Normal"/>
    <w:link w:val="stBilgiChar0"/>
    <w:uiPriority w:val="99"/>
    <w:unhideWhenUsed/>
    <w:rsid w:val="0042778A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42778A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42778A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277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F22D-F691-488E-8DE1-3E9481E6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2864</Words>
  <Characters>16330</Characters>
  <Application>Microsoft Office Word</Application>
  <DocSecurity>0</DocSecurity>
  <Lines>136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Brothers Movie World</Company>
  <LinksUpToDate>false</LinksUpToDate>
  <CharactersWithSpaces>19156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cp:lastModifiedBy>Pelin KAYA GÜNEŞER</cp:lastModifiedBy>
  <cp:revision>5</cp:revision>
  <cp:lastPrinted>2018-03-26T07:56:00Z</cp:lastPrinted>
  <dcterms:created xsi:type="dcterms:W3CDTF">2022-09-12T08:14:00Z</dcterms:created>
  <dcterms:modified xsi:type="dcterms:W3CDTF">2022-10-24T08:51:00Z</dcterms:modified>
</cp:coreProperties>
</file>